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282" w:rsidRDefault="009B613F" w:rsidP="00E702E0">
      <w:pPr>
        <w:ind w:firstLine="960"/>
        <w:jc w:val="left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noProof/>
          <w:sz w:val="48"/>
          <w:szCs w:val="48"/>
        </w:rPr>
        <w:t xml:space="preserve">          </w:t>
      </w:r>
    </w:p>
    <w:p w:rsidR="00F52A03" w:rsidRDefault="00F52A03" w:rsidP="00E702E0">
      <w:pPr>
        <w:ind w:firstLine="960"/>
        <w:rPr>
          <w:rFonts w:ascii="黑体" w:eastAsia="黑体" w:hAnsi="黑体"/>
          <w:sz w:val="48"/>
          <w:szCs w:val="48"/>
        </w:rPr>
      </w:pPr>
    </w:p>
    <w:p w:rsidR="003D1ED7" w:rsidRDefault="003D1ED7" w:rsidP="00E702E0">
      <w:pPr>
        <w:ind w:firstLine="960"/>
        <w:rPr>
          <w:rFonts w:ascii="黑体" w:eastAsia="黑体" w:hAnsi="黑体"/>
          <w:sz w:val="48"/>
          <w:szCs w:val="48"/>
        </w:rPr>
      </w:pPr>
    </w:p>
    <w:p w:rsidR="003D1ED7" w:rsidRPr="00504282" w:rsidRDefault="003D1ED7" w:rsidP="00E702E0">
      <w:pPr>
        <w:ind w:firstLine="960"/>
        <w:rPr>
          <w:rFonts w:ascii="黑体" w:eastAsia="黑体" w:hAnsi="黑体"/>
          <w:sz w:val="48"/>
          <w:szCs w:val="48"/>
        </w:rPr>
      </w:pPr>
    </w:p>
    <w:p w:rsidR="00F52A03" w:rsidRDefault="00F52A03" w:rsidP="00E702E0">
      <w:pPr>
        <w:ind w:firstLine="960"/>
        <w:rPr>
          <w:rFonts w:ascii="黑体" w:eastAsia="黑体" w:hAnsi="黑体"/>
          <w:sz w:val="48"/>
          <w:szCs w:val="48"/>
        </w:rPr>
      </w:pPr>
    </w:p>
    <w:p w:rsidR="00CF1BC4" w:rsidRPr="00F52A03" w:rsidRDefault="008F6832" w:rsidP="00E702E0">
      <w:pPr>
        <w:ind w:firstLine="960"/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钢铁</w:t>
      </w:r>
      <w:r w:rsidR="00294A9F" w:rsidRPr="00F52A03">
        <w:rPr>
          <w:rFonts w:ascii="黑体" w:eastAsia="黑体" w:hAnsi="黑体" w:hint="eastAsia"/>
          <w:sz w:val="48"/>
          <w:szCs w:val="48"/>
        </w:rPr>
        <w:t>企业润滑</w:t>
      </w:r>
      <w:r w:rsidR="00216DD6">
        <w:rPr>
          <w:rFonts w:ascii="黑体" w:eastAsia="黑体" w:hAnsi="黑体" w:hint="eastAsia"/>
          <w:sz w:val="48"/>
          <w:szCs w:val="48"/>
        </w:rPr>
        <w:t>油在线监测技术</w:t>
      </w:r>
      <w:r w:rsidR="00294A9F" w:rsidRPr="00F52A03">
        <w:rPr>
          <w:rFonts w:ascii="黑体" w:eastAsia="黑体" w:hAnsi="黑体" w:hint="eastAsia"/>
          <w:sz w:val="48"/>
          <w:szCs w:val="48"/>
        </w:rPr>
        <w:t>导则</w:t>
      </w:r>
    </w:p>
    <w:p w:rsidR="00294A9F" w:rsidRPr="00F52A03" w:rsidRDefault="00294A9F" w:rsidP="00E702E0">
      <w:pPr>
        <w:ind w:firstLine="960"/>
        <w:jc w:val="center"/>
        <w:rPr>
          <w:rFonts w:ascii="黑体" w:eastAsia="黑体" w:hAnsi="黑体"/>
          <w:sz w:val="48"/>
          <w:szCs w:val="48"/>
        </w:rPr>
      </w:pPr>
      <w:r w:rsidRPr="00F52A03">
        <w:rPr>
          <w:rFonts w:ascii="黑体" w:eastAsia="黑体" w:hAnsi="黑体" w:hint="eastAsia"/>
          <w:sz w:val="48"/>
          <w:szCs w:val="48"/>
        </w:rPr>
        <w:t>编制说明</w:t>
      </w:r>
    </w:p>
    <w:p w:rsidR="00294A9F" w:rsidRPr="003D1ED7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294A9F" w:rsidRPr="00F52A03" w:rsidRDefault="00294A9F" w:rsidP="00E702E0">
      <w:pPr>
        <w:ind w:firstLine="600"/>
        <w:jc w:val="center"/>
        <w:rPr>
          <w:rFonts w:asciiTheme="minorEastAsia" w:hAnsiTheme="minorEastAsia"/>
          <w:sz w:val="30"/>
          <w:szCs w:val="30"/>
        </w:rPr>
      </w:pPr>
      <w:r w:rsidRPr="00F52A03">
        <w:rPr>
          <w:rFonts w:asciiTheme="minorEastAsia" w:hAnsiTheme="minorEastAsia" w:hint="eastAsia"/>
          <w:sz w:val="30"/>
          <w:szCs w:val="30"/>
        </w:rPr>
        <w:t>广州机械科学研究院有限公司</w:t>
      </w:r>
    </w:p>
    <w:p w:rsidR="00294A9F" w:rsidRPr="00F52A03" w:rsidRDefault="00294A9F" w:rsidP="00E702E0">
      <w:pPr>
        <w:ind w:firstLine="600"/>
        <w:jc w:val="center"/>
        <w:rPr>
          <w:rFonts w:asciiTheme="minorEastAsia" w:hAnsiTheme="minorEastAsia"/>
          <w:sz w:val="30"/>
          <w:szCs w:val="30"/>
        </w:rPr>
      </w:pPr>
      <w:r w:rsidRPr="00F52A03">
        <w:rPr>
          <w:rFonts w:asciiTheme="minorEastAsia" w:hAnsiTheme="minorEastAsia" w:hint="eastAsia"/>
          <w:sz w:val="30"/>
          <w:szCs w:val="30"/>
        </w:rPr>
        <w:t>中国</w:t>
      </w:r>
      <w:r w:rsidR="008F6832">
        <w:rPr>
          <w:rFonts w:asciiTheme="minorEastAsia" w:hAnsiTheme="minorEastAsia" w:hint="eastAsia"/>
          <w:sz w:val="30"/>
          <w:szCs w:val="30"/>
        </w:rPr>
        <w:t>钢铁工业</w:t>
      </w:r>
      <w:r w:rsidRPr="00F52A03">
        <w:rPr>
          <w:rFonts w:asciiTheme="minorEastAsia" w:hAnsiTheme="minorEastAsia" w:hint="eastAsia"/>
          <w:sz w:val="30"/>
          <w:szCs w:val="30"/>
        </w:rPr>
        <w:t>协会</w:t>
      </w:r>
    </w:p>
    <w:p w:rsidR="00294A9F" w:rsidRPr="00F52A03" w:rsidRDefault="00294A9F" w:rsidP="00E702E0">
      <w:pPr>
        <w:adjustRightInd w:val="0"/>
        <w:snapToGrid w:val="0"/>
        <w:spacing w:line="300" w:lineRule="auto"/>
        <w:ind w:firstLine="600"/>
        <w:jc w:val="center"/>
        <w:rPr>
          <w:rFonts w:asciiTheme="minorEastAsia" w:hAnsiTheme="minorEastAsia"/>
          <w:color w:val="000000"/>
          <w:sz w:val="30"/>
          <w:szCs w:val="30"/>
        </w:rPr>
      </w:pPr>
      <w:r w:rsidRPr="00F52A03">
        <w:rPr>
          <w:rFonts w:asciiTheme="minorEastAsia" w:hAnsiTheme="minorEastAsia"/>
          <w:color w:val="000000"/>
          <w:sz w:val="30"/>
          <w:szCs w:val="30"/>
        </w:rPr>
        <w:t xml:space="preserve">二 ○ </w:t>
      </w:r>
      <w:r w:rsidR="008F6832">
        <w:rPr>
          <w:rFonts w:asciiTheme="minorEastAsia" w:hAnsiTheme="minorEastAsia" w:hint="eastAsia"/>
          <w:color w:val="000000"/>
          <w:sz w:val="30"/>
          <w:szCs w:val="30"/>
        </w:rPr>
        <w:t>二 一</w:t>
      </w:r>
      <w:r w:rsidR="009B613F">
        <w:rPr>
          <w:rFonts w:asciiTheme="minorEastAsia" w:hAnsiTheme="minorEastAsia" w:hint="eastAsia"/>
          <w:color w:val="000000"/>
          <w:sz w:val="30"/>
          <w:szCs w:val="30"/>
        </w:rPr>
        <w:t xml:space="preserve"> </w:t>
      </w:r>
      <w:r w:rsidRPr="00F52A03">
        <w:rPr>
          <w:rFonts w:asciiTheme="minorEastAsia" w:hAnsiTheme="minorEastAsia"/>
          <w:color w:val="000000"/>
          <w:sz w:val="30"/>
          <w:szCs w:val="30"/>
        </w:rPr>
        <w:t xml:space="preserve">年 </w:t>
      </w:r>
      <w:r w:rsidR="008F6832">
        <w:rPr>
          <w:rFonts w:asciiTheme="minorEastAsia" w:hAnsiTheme="minorEastAsia" w:hint="eastAsia"/>
          <w:color w:val="000000"/>
          <w:sz w:val="30"/>
          <w:szCs w:val="30"/>
        </w:rPr>
        <w:t>八</w:t>
      </w:r>
      <w:r w:rsidRPr="00F52A03">
        <w:rPr>
          <w:rFonts w:asciiTheme="minorEastAsia" w:hAnsiTheme="minorEastAsia"/>
          <w:color w:val="000000"/>
          <w:sz w:val="30"/>
          <w:szCs w:val="30"/>
        </w:rPr>
        <w:t xml:space="preserve"> 月</w:t>
      </w:r>
    </w:p>
    <w:p w:rsidR="00294A9F" w:rsidRPr="00F52A03" w:rsidRDefault="00294A9F" w:rsidP="00E702E0">
      <w:pPr>
        <w:ind w:firstLine="480"/>
        <w:rPr>
          <w:rFonts w:ascii="Times New Roman" w:eastAsia="宋体" w:hAnsi="Times New Roman"/>
        </w:rPr>
      </w:pPr>
    </w:p>
    <w:p w:rsidR="003C2741" w:rsidRPr="00F52A03" w:rsidRDefault="003C2741" w:rsidP="00E702E0">
      <w:pPr>
        <w:ind w:firstLine="480"/>
        <w:rPr>
          <w:rFonts w:ascii="Times New Roman" w:eastAsia="宋体" w:hAnsi="Times New Roman"/>
        </w:rPr>
      </w:pPr>
    </w:p>
    <w:p w:rsidR="003C2741" w:rsidRPr="00F52A03" w:rsidRDefault="003C2741" w:rsidP="00E702E0">
      <w:pPr>
        <w:ind w:firstLine="480"/>
        <w:rPr>
          <w:rFonts w:ascii="Times New Roman" w:eastAsia="宋体" w:hAnsi="Times New Roman"/>
        </w:rPr>
      </w:pPr>
    </w:p>
    <w:p w:rsidR="003C2741" w:rsidRPr="00F52A03" w:rsidRDefault="003C2741" w:rsidP="009B613F">
      <w:pPr>
        <w:adjustRightInd w:val="0"/>
        <w:snapToGrid w:val="0"/>
        <w:spacing w:beforeLines="100" w:before="312" w:afterLines="100" w:after="312" w:line="300" w:lineRule="auto"/>
        <w:ind w:firstLine="720"/>
        <w:jc w:val="center"/>
        <w:rPr>
          <w:rFonts w:ascii="黑体" w:eastAsia="黑体" w:hAnsi="黑体"/>
          <w:bCs/>
          <w:color w:val="000000"/>
          <w:sz w:val="36"/>
          <w:szCs w:val="36"/>
        </w:rPr>
      </w:pPr>
      <w:r w:rsidRPr="00F52A03">
        <w:rPr>
          <w:rFonts w:ascii="黑体" w:eastAsia="黑体" w:hAnsi="黑体"/>
          <w:bCs/>
          <w:color w:val="000000"/>
          <w:sz w:val="36"/>
          <w:szCs w:val="36"/>
        </w:rPr>
        <w:lastRenderedPageBreak/>
        <w:t>摘  要</w:t>
      </w:r>
    </w:p>
    <w:p w:rsidR="003C2741" w:rsidRPr="00F52A03" w:rsidRDefault="003C2741" w:rsidP="003C2741">
      <w:pPr>
        <w:pStyle w:val="a5"/>
        <w:framePr w:w="0" w:hRule="auto" w:wrap="auto" w:hAnchor="text" w:xAlign="left" w:yAlign="inline"/>
        <w:ind w:firstLineChars="200" w:firstLine="480"/>
        <w:jc w:val="both"/>
        <w:rPr>
          <w:rFonts w:ascii="Times New Roman" w:eastAsia="宋体"/>
          <w:bCs/>
          <w:color w:val="000000"/>
          <w:kern w:val="2"/>
          <w:sz w:val="24"/>
          <w:szCs w:val="24"/>
        </w:rPr>
      </w:pPr>
      <w:r w:rsidRPr="00F52A03">
        <w:rPr>
          <w:rFonts w:ascii="Times New Roman" w:eastAsia="宋体"/>
          <w:bCs/>
          <w:color w:val="000000"/>
          <w:kern w:val="2"/>
          <w:sz w:val="24"/>
          <w:szCs w:val="24"/>
        </w:rPr>
        <w:t>本文对《</w:t>
      </w:r>
      <w:r w:rsidR="0010115D" w:rsidRPr="0010115D">
        <w:rPr>
          <w:rFonts w:ascii="Times New Roman" w:eastAsia="宋体" w:hint="eastAsia"/>
          <w:bCs/>
          <w:color w:val="000000"/>
          <w:kern w:val="2"/>
          <w:sz w:val="24"/>
          <w:szCs w:val="24"/>
        </w:rPr>
        <w:t>钢铁企业润滑油在线监测技术导则</w:t>
      </w:r>
      <w:r w:rsidRPr="00F52A03">
        <w:rPr>
          <w:rFonts w:ascii="Times New Roman" w:eastAsia="宋体"/>
          <w:bCs/>
          <w:color w:val="000000"/>
          <w:kern w:val="2"/>
          <w:sz w:val="24"/>
          <w:szCs w:val="24"/>
        </w:rPr>
        <w:t>》的制定作了详细地说明，主要介绍了该导则制定任务的来源、制定依据、制定内容及制定过程等。</w:t>
      </w:r>
    </w:p>
    <w:p w:rsidR="003C2741" w:rsidRPr="000F3033" w:rsidRDefault="003C2741" w:rsidP="000F3033">
      <w:pPr>
        <w:ind w:firstLine="482"/>
        <w:rPr>
          <w:rFonts w:ascii="Times New Roman" w:eastAsia="宋体" w:hAnsi="Times New Roman"/>
          <w:color w:val="000000"/>
          <w:szCs w:val="24"/>
        </w:rPr>
      </w:pPr>
      <w:r w:rsidRPr="000F3033">
        <w:rPr>
          <w:rFonts w:ascii="Times New Roman" w:eastAsia="宋体" w:hAnsi="Times New Roman"/>
          <w:b/>
          <w:bCs/>
          <w:color w:val="000000"/>
          <w:szCs w:val="24"/>
        </w:rPr>
        <w:t>关键词</w:t>
      </w:r>
      <w:r w:rsidRPr="000F3033">
        <w:rPr>
          <w:rFonts w:ascii="Times New Roman" w:eastAsia="宋体" w:hAnsi="Times New Roman"/>
          <w:bCs/>
          <w:color w:val="000000"/>
          <w:szCs w:val="24"/>
        </w:rPr>
        <w:t>：</w:t>
      </w:r>
      <w:r w:rsidR="008F6832">
        <w:rPr>
          <w:rFonts w:ascii="Times New Roman" w:eastAsia="宋体" w:hAnsi="Times New Roman" w:hint="eastAsia"/>
          <w:color w:val="000000"/>
          <w:szCs w:val="24"/>
        </w:rPr>
        <w:t>钢铁</w:t>
      </w:r>
      <w:r w:rsidR="00E1756D" w:rsidRPr="000F3033">
        <w:rPr>
          <w:rFonts w:ascii="Times New Roman" w:eastAsia="宋体" w:hAnsi="Times New Roman" w:hint="eastAsia"/>
          <w:color w:val="000000"/>
          <w:szCs w:val="24"/>
        </w:rPr>
        <w:t>企业</w:t>
      </w:r>
      <w:r w:rsidRPr="000F3033">
        <w:rPr>
          <w:rFonts w:ascii="Times New Roman" w:eastAsia="宋体" w:hAnsi="Times New Roman"/>
          <w:color w:val="000000"/>
          <w:szCs w:val="24"/>
        </w:rPr>
        <w:t>；</w:t>
      </w:r>
      <w:r w:rsidR="0010115D">
        <w:rPr>
          <w:rFonts w:ascii="Times New Roman" w:eastAsia="宋体" w:hAnsi="Times New Roman" w:hint="eastAsia"/>
          <w:color w:val="000000"/>
          <w:szCs w:val="24"/>
        </w:rPr>
        <w:t>在线监测</w:t>
      </w:r>
      <w:r w:rsidRPr="000F3033">
        <w:rPr>
          <w:rFonts w:ascii="Times New Roman" w:eastAsia="宋体" w:hAnsi="Times New Roman"/>
          <w:color w:val="000000"/>
          <w:szCs w:val="24"/>
        </w:rPr>
        <w:t>；编制说明</w:t>
      </w: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504282" w:rsidRDefault="00504282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  <w:sectPr w:rsidR="00504282" w:rsidSect="00294A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E1756D" w:rsidRPr="009F6CD5" w:rsidRDefault="00E1756D" w:rsidP="00433B1A">
      <w:pPr>
        <w:spacing w:afterLines="100" w:after="312"/>
        <w:ind w:firstLineChars="0" w:firstLine="0"/>
        <w:jc w:val="center"/>
        <w:rPr>
          <w:rFonts w:ascii="Times New Roman" w:eastAsia="宋体" w:hAnsi="Times New Roman"/>
          <w:color w:val="000000"/>
          <w:sz w:val="36"/>
          <w:szCs w:val="20"/>
        </w:rPr>
      </w:pPr>
      <w:r w:rsidRPr="009F6CD5">
        <w:rPr>
          <w:rFonts w:ascii="Times New Roman" w:eastAsia="宋体" w:hAnsi="Times New Roman" w:hint="eastAsia"/>
          <w:color w:val="000000"/>
          <w:sz w:val="36"/>
          <w:szCs w:val="20"/>
        </w:rPr>
        <w:lastRenderedPageBreak/>
        <w:t>目录</w:t>
      </w:r>
    </w:p>
    <w:p w:rsidR="00851C86" w:rsidRDefault="00E4263C">
      <w:pPr>
        <w:pStyle w:val="10"/>
        <w:rPr>
          <w:noProof/>
          <w:sz w:val="21"/>
        </w:rPr>
      </w:pPr>
      <w:r w:rsidRPr="00433B1A">
        <w:rPr>
          <w:rFonts w:ascii="Times New Roman" w:hAnsi="Times New Roman" w:cs="Times New Roman"/>
          <w:color w:val="000000"/>
          <w:sz w:val="28"/>
          <w:szCs w:val="20"/>
        </w:rPr>
        <w:fldChar w:fldCharType="begin"/>
      </w:r>
      <w:r w:rsidR="009F4591" w:rsidRPr="00433B1A">
        <w:rPr>
          <w:rFonts w:ascii="Times New Roman" w:hAnsi="Times New Roman" w:cs="Times New Roman"/>
          <w:color w:val="000000"/>
          <w:sz w:val="28"/>
          <w:szCs w:val="20"/>
        </w:rPr>
        <w:instrText xml:space="preserve"> TOC \o "1-3" \h \z \u </w:instrText>
      </w:r>
      <w:r w:rsidRPr="00433B1A">
        <w:rPr>
          <w:rFonts w:ascii="Times New Roman" w:hAnsi="Times New Roman" w:cs="Times New Roman"/>
          <w:color w:val="000000"/>
          <w:sz w:val="28"/>
          <w:szCs w:val="20"/>
        </w:rPr>
        <w:fldChar w:fldCharType="separate"/>
      </w:r>
      <w:hyperlink w:anchor="_Toc80258211" w:history="1">
        <w:r w:rsidR="00851C86" w:rsidRPr="005C04DC">
          <w:rPr>
            <w:rStyle w:val="aa"/>
            <w:noProof/>
          </w:rPr>
          <w:t>1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工作简况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_Toc80258211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12" w:history="1">
        <w:r w:rsidR="00851C86" w:rsidRPr="005C04DC">
          <w:rPr>
            <w:rStyle w:val="aa"/>
            <w:noProof/>
          </w:rPr>
          <w:t>1.1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任务来源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_Toc80258212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13" w:history="1">
        <w:r w:rsidR="00851C86" w:rsidRPr="005C04DC">
          <w:rPr>
            <w:rStyle w:val="aa"/>
            <w:noProof/>
          </w:rPr>
          <w:t>1.2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任务背景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_Toc80258213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14" w:history="1">
        <w:r w:rsidR="00851C86" w:rsidRPr="005C04DC">
          <w:rPr>
            <w:rStyle w:val="aa"/>
            <w:noProof/>
          </w:rPr>
          <w:t>2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制定依据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_Toc80258214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15" w:history="1">
        <w:r w:rsidR="00851C86" w:rsidRPr="005C04DC">
          <w:rPr>
            <w:rStyle w:val="aa"/>
            <w:noProof/>
          </w:rPr>
          <w:t>2.1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制定过程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_Toc80258215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16" w:history="1">
        <w:r w:rsidR="00851C86" w:rsidRPr="005C04DC">
          <w:rPr>
            <w:rStyle w:val="aa"/>
            <w:noProof/>
          </w:rPr>
          <w:t>3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标准编制原则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_Toc80258216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- 2 -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17" w:history="1">
        <w:r w:rsidR="00851C86" w:rsidRPr="005C04DC">
          <w:rPr>
            <w:rStyle w:val="aa"/>
            <w:noProof/>
          </w:rPr>
          <w:t>4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标准的结构和主要内容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_Toc80258217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- 2 -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18" w:history="1">
        <w:r w:rsidR="00851C86" w:rsidRPr="005C04DC">
          <w:rPr>
            <w:rStyle w:val="aa"/>
            <w:noProof/>
          </w:rPr>
          <w:t>4.1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范围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_Toc80258218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- 2 -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19" w:history="1">
        <w:r w:rsidR="00851C86" w:rsidRPr="005C04DC">
          <w:rPr>
            <w:rStyle w:val="aa"/>
            <w:noProof/>
          </w:rPr>
          <w:t>4.2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规范性引用文件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_Toc80258219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- 2 -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0" w:history="1">
        <w:r w:rsidR="00851C86" w:rsidRPr="005C04DC">
          <w:rPr>
            <w:rStyle w:val="aa"/>
            <w:noProof/>
          </w:rPr>
          <w:t>4.3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术语及定义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_Toc80258220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- 2 -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1" w:history="1">
        <w:r w:rsidR="00851C86" w:rsidRPr="005C04DC">
          <w:rPr>
            <w:rStyle w:val="aa"/>
            <w:noProof/>
          </w:rPr>
          <w:t>4.4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技术原则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_Toc80258221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- 2 -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2" w:history="1">
        <w:r w:rsidR="00851C86" w:rsidRPr="005C04DC">
          <w:rPr>
            <w:rStyle w:val="aa"/>
            <w:noProof/>
          </w:rPr>
          <w:t>4.5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系统组成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_Toc80258222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- 3 -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3" w:history="1">
        <w:r w:rsidR="00851C86" w:rsidRPr="005C04DC">
          <w:rPr>
            <w:rStyle w:val="aa"/>
            <w:noProof/>
          </w:rPr>
          <w:t>4.6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功能要求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_Toc80258223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- 3 -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4" w:history="1">
        <w:r w:rsidR="00851C86" w:rsidRPr="005C04DC">
          <w:rPr>
            <w:rStyle w:val="aa"/>
            <w:noProof/>
          </w:rPr>
          <w:t>4.7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技术要求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_Toc80258224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- 3 -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5" w:history="1">
        <w:r w:rsidR="00851C86" w:rsidRPr="005C04DC">
          <w:rPr>
            <w:rStyle w:val="aa"/>
            <w:noProof/>
          </w:rPr>
          <w:t>4.8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在线监测系统的试验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_Toc80258225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- 5 -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20"/>
        <w:rPr>
          <w:noProof/>
          <w:sz w:val="21"/>
        </w:rPr>
      </w:pPr>
      <w:hyperlink w:anchor="_Toc80258226" w:history="1">
        <w:r w:rsidR="00851C86" w:rsidRPr="005C04DC">
          <w:rPr>
            <w:rStyle w:val="aa"/>
            <w:noProof/>
          </w:rPr>
          <w:t>4.9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在线监测系统的调试与验收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_Toc80258226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- 9 -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27" w:history="1">
        <w:r w:rsidR="00851C86" w:rsidRPr="005C04DC">
          <w:rPr>
            <w:rStyle w:val="aa"/>
            <w:noProof/>
          </w:rPr>
          <w:t>5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产业化情况、推广应用论证和预期达到的经济效果等情况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_Toc80258227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- 9 -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28" w:history="1">
        <w:r w:rsidR="00851C86" w:rsidRPr="005C04DC">
          <w:rPr>
            <w:rStyle w:val="aa"/>
            <w:noProof/>
          </w:rPr>
          <w:t>6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采用国际标准和国外先进标准情况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_Toc80258228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- 9 -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29" w:history="1">
        <w:r w:rsidR="00851C86" w:rsidRPr="005C04DC">
          <w:rPr>
            <w:rStyle w:val="aa"/>
            <w:noProof/>
          </w:rPr>
          <w:t>7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与现行相关法律、法规、规章及相关标准，特别是强制性标准的协调性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_Toc80258229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- 9 -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30" w:history="1">
        <w:r w:rsidR="00851C86" w:rsidRPr="005C04DC">
          <w:rPr>
            <w:rStyle w:val="aa"/>
            <w:noProof/>
          </w:rPr>
          <w:t>8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重大分歧意见的处理经过和依据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_Toc80258230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- 10 -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31" w:history="1">
        <w:r w:rsidR="00851C86" w:rsidRPr="005C04DC">
          <w:rPr>
            <w:rStyle w:val="aa"/>
            <w:noProof/>
          </w:rPr>
          <w:t>9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标准性质的建议说明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_Toc80258231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- 10 -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32" w:history="1">
        <w:r w:rsidR="00851C86" w:rsidRPr="005C04DC">
          <w:rPr>
            <w:rStyle w:val="aa"/>
            <w:noProof/>
          </w:rPr>
          <w:t>10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贯彻标准的要求和措施建议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_Toc80258232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- 10 -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33" w:history="1">
        <w:r w:rsidR="00851C86" w:rsidRPr="005C04DC">
          <w:rPr>
            <w:rStyle w:val="aa"/>
            <w:noProof/>
          </w:rPr>
          <w:t>11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废止现行相关标准的建议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_Toc80258233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- 10 -</w:t>
        </w:r>
        <w:r w:rsidR="00851C86">
          <w:rPr>
            <w:noProof/>
            <w:webHidden/>
          </w:rPr>
          <w:fldChar w:fldCharType="end"/>
        </w:r>
      </w:hyperlink>
    </w:p>
    <w:p w:rsidR="00851C86" w:rsidRDefault="00B63DD3">
      <w:pPr>
        <w:pStyle w:val="10"/>
        <w:rPr>
          <w:noProof/>
          <w:sz w:val="21"/>
        </w:rPr>
      </w:pPr>
      <w:hyperlink w:anchor="_Toc80258234" w:history="1">
        <w:r w:rsidR="00851C86" w:rsidRPr="005C04DC">
          <w:rPr>
            <w:rStyle w:val="aa"/>
            <w:noProof/>
          </w:rPr>
          <w:t>12</w:t>
        </w:r>
        <w:r w:rsidR="00851C86">
          <w:rPr>
            <w:noProof/>
            <w:sz w:val="21"/>
          </w:rPr>
          <w:tab/>
        </w:r>
        <w:r w:rsidR="00851C86" w:rsidRPr="005C04DC">
          <w:rPr>
            <w:rStyle w:val="aa"/>
            <w:rFonts w:hint="eastAsia"/>
            <w:noProof/>
          </w:rPr>
          <w:t>其它应予说明的事项</w:t>
        </w:r>
        <w:r w:rsidR="00851C86">
          <w:rPr>
            <w:noProof/>
            <w:webHidden/>
          </w:rPr>
          <w:tab/>
        </w:r>
        <w:r w:rsidR="00851C86">
          <w:rPr>
            <w:noProof/>
            <w:webHidden/>
          </w:rPr>
          <w:fldChar w:fldCharType="begin"/>
        </w:r>
        <w:r w:rsidR="00851C86">
          <w:rPr>
            <w:noProof/>
            <w:webHidden/>
          </w:rPr>
          <w:instrText xml:space="preserve"> PAGEREF _Toc80258234 \h </w:instrText>
        </w:r>
        <w:r w:rsidR="00851C86">
          <w:rPr>
            <w:noProof/>
            <w:webHidden/>
          </w:rPr>
        </w:r>
        <w:r w:rsidR="00851C86">
          <w:rPr>
            <w:noProof/>
            <w:webHidden/>
          </w:rPr>
          <w:fldChar w:fldCharType="separate"/>
        </w:r>
        <w:r w:rsidR="00851C86">
          <w:rPr>
            <w:noProof/>
            <w:webHidden/>
          </w:rPr>
          <w:t>- 10 -</w:t>
        </w:r>
        <w:r w:rsidR="00851C86">
          <w:rPr>
            <w:noProof/>
            <w:webHidden/>
          </w:rPr>
          <w:fldChar w:fldCharType="end"/>
        </w:r>
      </w:hyperlink>
    </w:p>
    <w:p w:rsidR="00E1756D" w:rsidRPr="00F52A03" w:rsidRDefault="00E4263C" w:rsidP="00101088">
      <w:pPr>
        <w:spacing w:line="300" w:lineRule="auto"/>
        <w:ind w:firstLine="560"/>
        <w:rPr>
          <w:rFonts w:ascii="Times New Roman" w:eastAsia="宋体" w:hAnsi="Times New Roman"/>
          <w:color w:val="000000"/>
          <w:sz w:val="28"/>
          <w:szCs w:val="20"/>
        </w:rPr>
      </w:pPr>
      <w:r w:rsidRPr="00433B1A">
        <w:rPr>
          <w:rFonts w:ascii="Times New Roman" w:eastAsia="宋体" w:hAnsi="Times New Roman" w:cs="Times New Roman"/>
          <w:color w:val="000000"/>
          <w:sz w:val="28"/>
          <w:szCs w:val="20"/>
        </w:rPr>
        <w:fldChar w:fldCharType="end"/>
      </w:r>
    </w:p>
    <w:p w:rsidR="00E1756D" w:rsidRPr="00F52A03" w:rsidRDefault="00E1756D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</w:pPr>
    </w:p>
    <w:p w:rsidR="00806D82" w:rsidRDefault="00806D82" w:rsidP="00E702E0">
      <w:pPr>
        <w:ind w:firstLine="560"/>
        <w:rPr>
          <w:rFonts w:ascii="Times New Roman" w:eastAsia="宋体" w:hAnsi="Times New Roman"/>
          <w:color w:val="000000"/>
          <w:sz w:val="28"/>
          <w:szCs w:val="20"/>
        </w:rPr>
        <w:sectPr w:rsidR="00806D82" w:rsidSect="00C101E0">
          <w:head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1756D" w:rsidRPr="00E702E0" w:rsidRDefault="00C101E0" w:rsidP="00E702E0">
      <w:pPr>
        <w:pStyle w:val="1"/>
      </w:pPr>
      <w:bookmarkStart w:id="0" w:name="_Toc80258211"/>
      <w:r w:rsidRPr="00E702E0">
        <w:rPr>
          <w:rFonts w:hint="eastAsia"/>
        </w:rPr>
        <w:lastRenderedPageBreak/>
        <w:t>工作简况</w:t>
      </w:r>
      <w:bookmarkEnd w:id="0"/>
    </w:p>
    <w:p w:rsidR="00E1756D" w:rsidRPr="00E702E0" w:rsidRDefault="00E1756D" w:rsidP="00E702E0">
      <w:pPr>
        <w:pStyle w:val="2"/>
      </w:pPr>
      <w:bookmarkStart w:id="1" w:name="_Toc80258212"/>
      <w:r w:rsidRPr="00E702E0">
        <w:rPr>
          <w:rFonts w:hint="eastAsia"/>
        </w:rPr>
        <w:t>任务来源</w:t>
      </w:r>
      <w:bookmarkEnd w:id="1"/>
    </w:p>
    <w:p w:rsidR="00BA232D" w:rsidRPr="00632880" w:rsidRDefault="00BD1F98" w:rsidP="002E28C9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="00535A3F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是根据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中国钢铁</w:t>
      </w:r>
      <w:r w:rsidR="008F6832">
        <w:rPr>
          <w:rFonts w:ascii="Times New Roman" w:eastAsia="宋体" w:hAnsi="Times New Roman"/>
          <w:b w:val="0"/>
          <w:color w:val="000000"/>
          <w:sz w:val="21"/>
          <w:szCs w:val="21"/>
        </w:rPr>
        <w:t>工业</w:t>
      </w:r>
      <w:r w:rsidR="00535A3F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协会文件</w:t>
      </w:r>
      <w:r w:rsidR="008F6832" w:rsidRP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〔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2020</w:t>
      </w:r>
      <w:r w:rsidR="008F6832" w:rsidRP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〕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112</w:t>
      </w:r>
      <w:r w:rsidR="00535A3F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号文“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中国</w:t>
      </w:r>
      <w:r w:rsidR="008F6832">
        <w:rPr>
          <w:rFonts w:ascii="Times New Roman" w:eastAsia="宋体" w:hAnsi="Times New Roman"/>
          <w:b w:val="0"/>
          <w:color w:val="000000"/>
          <w:sz w:val="21"/>
          <w:szCs w:val="21"/>
        </w:rPr>
        <w:t>钢铁工业协会关于下达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2020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年</w:t>
      </w:r>
      <w:r w:rsidR="008F6832">
        <w:rPr>
          <w:rFonts w:ascii="Times New Roman" w:eastAsia="宋体" w:hAnsi="Times New Roman"/>
          <w:b w:val="0"/>
          <w:color w:val="000000"/>
          <w:sz w:val="21"/>
          <w:szCs w:val="21"/>
        </w:rPr>
        <w:t>第五批团体标准制修订计划的通知</w:t>
      </w:r>
      <w:r w:rsidR="00535A3F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”</w:t>
      </w:r>
      <w:r w:rsidR="0067169D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下达的制定任务，</w:t>
      </w:r>
      <w:r w:rsidR="00BA232D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对《</w:t>
      </w:r>
      <w:r w:rsidR="0010115D" w:rsidRPr="0010115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钢铁企业润滑油在线监测技术导则</w:t>
      </w:r>
      <w:r w:rsidR="00BA232D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》进行的制定</w:t>
      </w:r>
      <w:r w:rsidR="009B562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 w:rsidR="009B562E" w:rsidRPr="009B562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计划编号为</w:t>
      </w:r>
      <w:r w:rsidR="001466A0">
        <w:rPr>
          <w:rFonts w:ascii="Times New Roman" w:eastAsia="宋体" w:hAnsi="Times New Roman"/>
          <w:b w:val="0"/>
          <w:color w:val="000000"/>
          <w:sz w:val="21"/>
          <w:szCs w:val="21"/>
        </w:rPr>
        <w:t>20200101</w:t>
      </w:r>
      <w:r w:rsidR="00BA232D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。由</w:t>
      </w:r>
      <w:r w:rsidR="00632880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广州机械科学研究院有限公司、中国</w:t>
      </w:r>
      <w:r w:rsidR="008F6832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钢铁工业</w:t>
      </w:r>
      <w:r w:rsidR="00303D2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协会</w:t>
      </w:r>
      <w:r w:rsidR="00303D20" w:rsidRPr="00303D20">
        <w:rPr>
          <w:rFonts w:ascii="Times New Roman" w:eastAsia="宋体" w:hAnsi="Times New Roman" w:hint="eastAsia"/>
          <w:b w:val="0"/>
          <w:color w:val="FF0000"/>
          <w:sz w:val="21"/>
          <w:szCs w:val="21"/>
        </w:rPr>
        <w:t>、</w:t>
      </w:r>
      <w:r w:rsidR="00BA232D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共同负责起草</w:t>
      </w:r>
      <w:r w:rsidR="00BA232D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。</w:t>
      </w:r>
    </w:p>
    <w:p w:rsidR="00E1756D" w:rsidRPr="00E702E0" w:rsidRDefault="000A5646" w:rsidP="00E702E0">
      <w:pPr>
        <w:pStyle w:val="2"/>
      </w:pPr>
      <w:bookmarkStart w:id="2" w:name="_Toc80258213"/>
      <w:r w:rsidRPr="00E702E0">
        <w:rPr>
          <w:rFonts w:hint="eastAsia"/>
        </w:rPr>
        <w:t>任务背景</w:t>
      </w:r>
      <w:bookmarkEnd w:id="2"/>
    </w:p>
    <w:p w:rsidR="00447F1A" w:rsidRDefault="00447F1A" w:rsidP="002E28C9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根据</w:t>
      </w:r>
      <w:r w:rsidR="005E2E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钢铁企业设备润滑失效大数据，对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国内某钢铁企业生产设备</w:t>
      </w:r>
      <w:r w:rsidR="005E2E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的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7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00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多个失效轴承的统计结果显示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有约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59%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是因润滑不良导致的</w:t>
      </w:r>
      <w:r w:rsidR="005E2E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随着国内钢铁产量的大幅度增长，</w:t>
      </w:r>
      <w:r w:rsidR="0000661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设备作为钢铁企业的重要支柱，提出更高的要求，润滑作为设备的“血液”直接关系到钢铁企业的正常生产和经济效益。</w:t>
      </w:r>
    </w:p>
    <w:p w:rsidR="001466A0" w:rsidRPr="001466A0" w:rsidRDefault="001466A0" w:rsidP="001466A0">
      <w:pPr>
        <w:pStyle w:val="a6"/>
        <w:spacing w:line="360" w:lineRule="auto"/>
        <w:ind w:right="-175" w:firstLine="420"/>
        <w:jc w:val="left"/>
        <w:rPr>
          <w:rFonts w:asciiTheme="minorEastAsia" w:eastAsiaTheme="minorEastAsia" w:hAnsiTheme="minorEastAsia"/>
          <w:b w:val="0"/>
          <w:color w:val="000000"/>
          <w:sz w:val="21"/>
          <w:szCs w:val="21"/>
        </w:rPr>
      </w:pPr>
      <w:r>
        <w:rPr>
          <w:rFonts w:asciiTheme="minorEastAsia" w:eastAsiaTheme="minorEastAsia" w:hAnsiTheme="minorEastAsia" w:hint="eastAsia"/>
          <w:b w:val="0"/>
          <w:color w:val="000000"/>
          <w:sz w:val="21"/>
          <w:szCs w:val="21"/>
        </w:rPr>
        <w:t>目前，钢铁企业正在向着智能化、数字化转型，</w:t>
      </w:r>
      <w:r w:rsidRPr="001466A0">
        <w:rPr>
          <w:rFonts w:asciiTheme="minorEastAsia" w:eastAsiaTheme="minorEastAsia" w:hAnsiTheme="minorEastAsia" w:hint="eastAsia"/>
          <w:b w:val="0"/>
          <w:color w:val="000000"/>
          <w:sz w:val="21"/>
          <w:szCs w:val="21"/>
        </w:rPr>
        <w:t>油液在线监测装置技术，</w:t>
      </w:r>
      <w:r w:rsidR="00356337">
        <w:rPr>
          <w:rFonts w:asciiTheme="minorEastAsia" w:eastAsiaTheme="minorEastAsia" w:hAnsiTheme="minorEastAsia" w:hint="eastAsia"/>
          <w:b w:val="0"/>
          <w:color w:val="000000"/>
          <w:sz w:val="21"/>
          <w:szCs w:val="21"/>
        </w:rPr>
        <w:t>作为智能化、数字化过程中的重要一环，可为钢铁企业节省成本、提高经济效益。该</w:t>
      </w:r>
      <w:r w:rsidRPr="001466A0">
        <w:rPr>
          <w:rFonts w:asciiTheme="minorEastAsia" w:eastAsiaTheme="minorEastAsia" w:hAnsiTheme="minorEastAsia" w:hint="eastAsia"/>
          <w:b w:val="0"/>
          <w:color w:val="000000"/>
          <w:sz w:val="21"/>
          <w:szCs w:val="21"/>
        </w:rPr>
        <w:t>技术基于在线油</w:t>
      </w:r>
      <w:r w:rsidR="00356337">
        <w:rPr>
          <w:rFonts w:asciiTheme="minorEastAsia" w:eastAsiaTheme="minorEastAsia" w:hAnsiTheme="minorEastAsia" w:hint="eastAsia"/>
          <w:b w:val="0"/>
          <w:color w:val="000000"/>
          <w:sz w:val="21"/>
          <w:szCs w:val="21"/>
        </w:rPr>
        <w:t>液监测传感器，通过系统集成技术，形成一套特定的油液在线监测装置，</w:t>
      </w:r>
      <w:r w:rsidRPr="001466A0">
        <w:rPr>
          <w:rFonts w:asciiTheme="minorEastAsia" w:eastAsiaTheme="minorEastAsia" w:hAnsiTheme="minorEastAsia" w:hint="eastAsia"/>
          <w:b w:val="0"/>
          <w:color w:val="000000"/>
          <w:sz w:val="21"/>
          <w:szCs w:val="21"/>
        </w:rPr>
        <w:t>将硬件与软件结合，通过智能化、数字化、数据化，可实现油液在线监测与数据分析集成显示，系统自动实现油液数据实时趋势显示、数据存储与智能报警等功能。</w:t>
      </w:r>
    </w:p>
    <w:p w:rsidR="001466A0" w:rsidRDefault="001466A0" w:rsidP="001466A0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1466A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目前油液在线监测技术，</w:t>
      </w:r>
      <w:r w:rsidR="00FD060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已逐步在钢铁企业应用，</w:t>
      </w:r>
      <w:r w:rsidRPr="001466A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在</w:t>
      </w:r>
      <w:r w:rsidR="0035633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</w:t>
      </w:r>
      <w:r w:rsidRPr="001466A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国内外标准均较少，为了</w:t>
      </w:r>
      <w:r w:rsidR="0035633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确定油液在线监测技术的</w:t>
      </w:r>
      <w:r w:rsidRPr="001466A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相关技术指标，急需制定相关标准。</w:t>
      </w:r>
    </w:p>
    <w:p w:rsidR="00250202" w:rsidRPr="00AC25BB" w:rsidRDefault="00250202" w:rsidP="00E702E0">
      <w:pPr>
        <w:pStyle w:val="1"/>
      </w:pPr>
      <w:bookmarkStart w:id="3" w:name="_Toc80258214"/>
      <w:r w:rsidRPr="00AC25BB">
        <w:rPr>
          <w:rFonts w:hint="eastAsia"/>
        </w:rPr>
        <w:t>制定依据</w:t>
      </w:r>
      <w:bookmarkEnd w:id="3"/>
    </w:p>
    <w:p w:rsidR="00356337" w:rsidRDefault="00356337" w:rsidP="003C702D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bookmarkStart w:id="4" w:name="OLE_LINK52"/>
      <w:r>
        <w:rPr>
          <w:rFonts w:ascii="Times New Roman" w:eastAsia="宋体" w:hAnsi="Times New Roman"/>
          <w:b w:val="0"/>
          <w:color w:val="000000"/>
          <w:sz w:val="21"/>
          <w:szCs w:val="21"/>
        </w:rPr>
        <w:t>本导则参考了</w:t>
      </w:r>
      <w:r w:rsidR="004548E0" w:rsidRP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DLT 1498.1-2016</w:t>
      </w:r>
      <w:r w:rsidR="004548E0" w:rsidRP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《变电设备油液在线监测装置技术规范》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、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Q</w:t>
      </w:r>
      <w:r w:rsidR="004548E0">
        <w:rPr>
          <w:rFonts w:ascii="Times New Roman" w:eastAsia="宋体" w:hAnsi="Times New Roman"/>
          <w:b w:val="0"/>
          <w:color w:val="000000"/>
          <w:sz w:val="21"/>
          <w:szCs w:val="21"/>
        </w:rPr>
        <w:t>/GDW534-2010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《变电设备在线监测系统技术导则》等国内外标准，综合了各钢铁厂设备润滑在线监测</w:t>
      </w:r>
      <w:r w:rsidR="004548E0" w:rsidRP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的调研情况进行制定，以期对钢铁企业设备润滑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在线监测</w:t>
      </w:r>
      <w:r w:rsidR="004548E0" w:rsidRP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提供指导，保障设备润滑安全和效益。</w:t>
      </w:r>
    </w:p>
    <w:p w:rsidR="005B6FCC" w:rsidRPr="00E702E0" w:rsidRDefault="00551DFF" w:rsidP="00E702E0">
      <w:pPr>
        <w:pStyle w:val="2"/>
      </w:pPr>
      <w:bookmarkStart w:id="5" w:name="_Toc80258215"/>
      <w:bookmarkEnd w:id="4"/>
      <w:r w:rsidRPr="00E702E0">
        <w:rPr>
          <w:rFonts w:hint="eastAsia"/>
        </w:rPr>
        <w:t>制定过程</w:t>
      </w:r>
      <w:bookmarkEnd w:id="5"/>
    </w:p>
    <w:p w:rsidR="008B2BCB" w:rsidRPr="00632880" w:rsidRDefault="00551DFF" w:rsidP="004548E0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根据下达的制定任务，由</w:t>
      </w:r>
      <w:r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中国</w:t>
      </w:r>
      <w:r w:rsidR="00685CD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钢铁工业</w:t>
      </w:r>
      <w:r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协会与广州机械科学研究院有限公司共同负责该</w:t>
      </w:r>
      <w:r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lastRenderedPageBreak/>
        <w:t>标准的制定工作</w:t>
      </w: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。在制定过程中，广泛查阅了相关的国内外标准等资料，收集了国内外</w:t>
      </w:r>
      <w:r w:rsidR="0023776D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不同工业企业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油液在线监测</w:t>
      </w:r>
      <w:r w:rsidR="0023776D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相关标准，</w:t>
      </w:r>
      <w:r w:rsidR="008B2BCB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制定出</w:t>
      </w:r>
      <w:r w:rsidR="00685CD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</w:t>
      </w:r>
      <w:r w:rsidR="008B2BCB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企业</w:t>
      </w:r>
      <w:r w:rsidR="00CB43D1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重点设备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油液在线监测的技术原则、系统组成、功能要求、技术要求、安装要求、试验及调试和验收的要求，</w:t>
      </w:r>
      <w:r w:rsidR="008B2BCB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在此基础上提出此《</w:t>
      </w:r>
      <w:r w:rsidR="00685CD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</w:t>
      </w:r>
      <w:r w:rsidR="008B2BCB" w:rsidRPr="0063288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企业</w:t>
      </w:r>
      <w:r w:rsidR="004548E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润滑油在线监测技术导则</w:t>
      </w:r>
      <w:r w:rsidR="008B2BCB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》的征求意见稿。</w:t>
      </w:r>
    </w:p>
    <w:p w:rsidR="00C101E0" w:rsidRPr="00E702E0" w:rsidRDefault="00C101E0" w:rsidP="00E702E0">
      <w:pPr>
        <w:pStyle w:val="1"/>
      </w:pPr>
      <w:bookmarkStart w:id="6" w:name="_Toc5107738"/>
      <w:bookmarkStart w:id="7" w:name="_Toc5107867"/>
      <w:bookmarkStart w:id="8" w:name="_Toc80258216"/>
      <w:r w:rsidRPr="00E702E0">
        <w:t>标准编制原则</w:t>
      </w:r>
      <w:bookmarkEnd w:id="6"/>
      <w:bookmarkEnd w:id="7"/>
      <w:bookmarkEnd w:id="8"/>
    </w:p>
    <w:p w:rsidR="00C101E0" w:rsidRPr="00632880" w:rsidRDefault="00BD1F98" w:rsidP="003C702D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的制定，是根据《中华人民共和国标准化法》：</w:t>
      </w:r>
      <w:r w:rsidR="00BD51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“</w:t>
      </w:r>
      <w:r w:rsidR="00BD510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制定标准应当有利于</w:t>
      </w:r>
      <w:r w:rsidR="00BD51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科学</w:t>
      </w:r>
      <w:r w:rsidR="00BD510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合理利用资源，推广科学技术成果，</w:t>
      </w:r>
      <w:r w:rsidR="00BD51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增强</w:t>
      </w:r>
      <w:r w:rsidR="00BD5100">
        <w:rPr>
          <w:rFonts w:ascii="Times New Roman" w:eastAsia="宋体" w:hAnsi="Times New Roman"/>
          <w:b w:val="0"/>
          <w:color w:val="000000"/>
          <w:sz w:val="21"/>
          <w:szCs w:val="21"/>
        </w:rPr>
        <w:t>产品的安全性、通用性、可替换性，</w:t>
      </w:r>
      <w:r w:rsidR="00BD510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提高经济效益</w:t>
      </w:r>
      <w:r w:rsidR="00BD51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、</w:t>
      </w:r>
      <w:r w:rsidR="00BD5100">
        <w:rPr>
          <w:rFonts w:ascii="Times New Roman" w:eastAsia="宋体" w:hAnsi="Times New Roman"/>
          <w:b w:val="0"/>
          <w:color w:val="000000"/>
          <w:sz w:val="21"/>
          <w:szCs w:val="21"/>
        </w:rPr>
        <w:t>社会效益、生态效益，做到技术上先进、经济上合理</w:t>
      </w:r>
      <w:r w:rsidR="00BD510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。”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的精神制定的。</w:t>
      </w:r>
    </w:p>
    <w:p w:rsidR="00C101E0" w:rsidRPr="00632880" w:rsidRDefault="00BD1F98" w:rsidP="003C702D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的编写格式，按照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GB/T 1.1-</w:t>
      </w:r>
      <w:r w:rsidR="003C702D">
        <w:rPr>
          <w:rFonts w:ascii="Times New Roman" w:eastAsia="宋体" w:hAnsi="Times New Roman"/>
          <w:b w:val="0"/>
          <w:color w:val="000000"/>
          <w:sz w:val="21"/>
          <w:szCs w:val="21"/>
        </w:rPr>
        <w:t>2020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《标准化工作导则</w:t>
      </w:r>
      <w:r w:rsidR="005439A4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 xml:space="preserve"> 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第</w:t>
      </w:r>
      <w:r w:rsidR="005439A4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1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部分：标准</w:t>
      </w:r>
      <w:r w:rsidR="005439A4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化</w:t>
      </w:r>
      <w:r w:rsidR="005439A4">
        <w:rPr>
          <w:rFonts w:ascii="Times New Roman" w:eastAsia="宋体" w:hAnsi="Times New Roman"/>
          <w:b w:val="0"/>
          <w:color w:val="000000"/>
          <w:sz w:val="21"/>
          <w:szCs w:val="21"/>
        </w:rPr>
        <w:t>文件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的结构和</w:t>
      </w:r>
      <w:r w:rsidR="005439A4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起草</w:t>
      </w:r>
      <w:r w:rsidR="00C101E0"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规则》的规定进行。</w:t>
      </w:r>
    </w:p>
    <w:p w:rsidR="00551DFF" w:rsidRPr="00E702E0" w:rsidRDefault="00E702E0" w:rsidP="00E702E0">
      <w:pPr>
        <w:pStyle w:val="1"/>
      </w:pPr>
      <w:bookmarkStart w:id="9" w:name="_Toc80258217"/>
      <w:r w:rsidRPr="00E702E0">
        <w:rPr>
          <w:rFonts w:hint="eastAsia"/>
        </w:rPr>
        <w:t>标准的结构和</w:t>
      </w:r>
      <w:r w:rsidR="009F6C54" w:rsidRPr="00E702E0">
        <w:rPr>
          <w:rFonts w:hint="eastAsia"/>
        </w:rPr>
        <w:t>主要内容</w:t>
      </w:r>
      <w:bookmarkEnd w:id="9"/>
    </w:p>
    <w:p w:rsidR="009364B5" w:rsidRPr="00E702E0" w:rsidRDefault="009364B5" w:rsidP="00E702E0">
      <w:pPr>
        <w:pStyle w:val="2"/>
      </w:pPr>
      <w:bookmarkStart w:id="10" w:name="_Toc80258218"/>
      <w:r w:rsidRPr="00E702E0">
        <w:rPr>
          <w:rFonts w:hint="eastAsia"/>
        </w:rPr>
        <w:t>范围</w:t>
      </w:r>
      <w:bookmarkEnd w:id="10"/>
    </w:p>
    <w:p w:rsidR="00A8362D" w:rsidRDefault="00A8362D" w:rsidP="00A80C39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A8362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本标准规定了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钢铁企业油液在线</w:t>
      </w:r>
      <w:r w:rsidRPr="00A8362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监测装置的专业术语，提出了在线油液监测装置的系统功能、基本结构以及相关技术要求，适用于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</w:t>
      </w:r>
      <w:r w:rsidRPr="00A8362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中的破碎机、液压系统、减速机、卷取机、焦车、烧结机组、转炉炼钢设备，热、冷轧机机组、磨辊机组、轴承等机械设备的油液在线监测装置。</w:t>
      </w:r>
    </w:p>
    <w:p w:rsidR="007708FB" w:rsidRPr="00E702E0" w:rsidRDefault="00D03327" w:rsidP="00E702E0">
      <w:pPr>
        <w:pStyle w:val="2"/>
      </w:pPr>
      <w:bookmarkStart w:id="11" w:name="_Toc80258219"/>
      <w:r w:rsidRPr="00E702E0">
        <w:rPr>
          <w:rFonts w:hint="eastAsia"/>
        </w:rPr>
        <w:t>规范性引用文件</w:t>
      </w:r>
      <w:bookmarkEnd w:id="11"/>
    </w:p>
    <w:p w:rsidR="00D03327" w:rsidRPr="00632880" w:rsidRDefault="00D03327" w:rsidP="009D61E2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依据</w:t>
      </w: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GB/T</w:t>
      </w:r>
      <w:r w:rsidR="00BD5100">
        <w:rPr>
          <w:rFonts w:ascii="Times New Roman" w:eastAsia="宋体" w:hAnsi="Times New Roman"/>
          <w:b w:val="0"/>
          <w:color w:val="000000"/>
          <w:sz w:val="21"/>
          <w:szCs w:val="21"/>
        </w:rPr>
        <w:t xml:space="preserve"> </w:t>
      </w: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1.1-20</w:t>
      </w:r>
      <w:r w:rsidR="00BD5100">
        <w:rPr>
          <w:rFonts w:ascii="Times New Roman" w:eastAsia="宋体" w:hAnsi="Times New Roman"/>
          <w:b w:val="0"/>
          <w:color w:val="000000"/>
          <w:sz w:val="21"/>
          <w:szCs w:val="21"/>
        </w:rPr>
        <w:t>20</w:t>
      </w:r>
      <w:r w:rsidRPr="00632880">
        <w:rPr>
          <w:rFonts w:ascii="Times New Roman" w:eastAsia="宋体" w:hAnsi="Times New Roman"/>
          <w:b w:val="0"/>
          <w:color w:val="000000"/>
          <w:sz w:val="21"/>
          <w:szCs w:val="21"/>
        </w:rPr>
        <w:t>的要求，给出了标准的规范性引用文件。</w:t>
      </w:r>
    </w:p>
    <w:p w:rsidR="00655553" w:rsidRDefault="00655553" w:rsidP="00655553">
      <w:pPr>
        <w:pStyle w:val="2"/>
      </w:pPr>
      <w:bookmarkStart w:id="12" w:name="_Toc80258220"/>
      <w:r>
        <w:rPr>
          <w:rFonts w:hint="eastAsia"/>
        </w:rPr>
        <w:t>术语及定义</w:t>
      </w:r>
      <w:bookmarkEnd w:id="12"/>
    </w:p>
    <w:p w:rsidR="00A8362D" w:rsidRDefault="00A8362D" w:rsidP="009D61E2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A8362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规定和定义了标准中的相关术语和定义，包含：在线监测、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</w:t>
      </w:r>
      <w:r w:rsidRPr="00A8362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在线监测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系统</w:t>
      </w:r>
      <w:r w:rsidRPr="00A8362D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、油液监测传感器、检测单元、数据采集与控制。</w:t>
      </w:r>
    </w:p>
    <w:p w:rsidR="00D03327" w:rsidRPr="00E702E0" w:rsidRDefault="00822077" w:rsidP="00E702E0">
      <w:pPr>
        <w:pStyle w:val="2"/>
      </w:pPr>
      <w:bookmarkStart w:id="13" w:name="_Toc80258221"/>
      <w:r>
        <w:rPr>
          <w:rFonts w:hint="eastAsia"/>
        </w:rPr>
        <w:t>技术原则</w:t>
      </w:r>
      <w:bookmarkEnd w:id="13"/>
    </w:p>
    <w:p w:rsidR="009E1AF9" w:rsidRDefault="009E1AF9" w:rsidP="009D61E2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9E1AF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阐述了油液在线监测的</w:t>
      </w:r>
      <w:r w:rsidRPr="009E1AF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8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个技术原则。</w:t>
      </w:r>
    </w:p>
    <w:p w:rsidR="009E1AF9" w:rsidRDefault="009E1AF9" w:rsidP="009D61E2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油液在线监测技术是近几年逐渐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兴起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的一项技术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目前钢铁企业对油液在线监测技术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系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lastRenderedPageBreak/>
        <w:t>统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的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技术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原则不清晰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不利于油液在线监测技术在钢铁企业的开展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为此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导则规定了油液在线监测技术的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基本技术原则。</w:t>
      </w:r>
    </w:p>
    <w:p w:rsidR="00E00D3D" w:rsidRPr="00E702E0" w:rsidRDefault="009E1AF9" w:rsidP="00E702E0">
      <w:pPr>
        <w:pStyle w:val="2"/>
      </w:pPr>
      <w:bookmarkStart w:id="14" w:name="_Toc80258222"/>
      <w:r>
        <w:rPr>
          <w:rFonts w:hint="eastAsia"/>
        </w:rPr>
        <w:t>系统组成</w:t>
      </w:r>
      <w:bookmarkEnd w:id="14"/>
    </w:p>
    <w:p w:rsidR="009E1AF9" w:rsidRDefault="009E1AF9" w:rsidP="00C95088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对油液在线监测技术的系统组成进行了说明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9E1AF9" w:rsidRDefault="009E1AF9" w:rsidP="00C95088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在线监测技术的系统组成是钢铁企业认识该技术的基础，目前很多钢铁企业对油液在线监测的组成不够清晰，导致在项目实施过程中没有及时利用该技术，阻碍油液在线监测技术的进行。本导则规定了油液在线监测系统的系统组成，包含采集单元、数据存储及传输单元及数据诊断分析单元。</w:t>
      </w:r>
    </w:p>
    <w:p w:rsidR="001303B8" w:rsidRPr="00E702E0" w:rsidRDefault="009E1AF9" w:rsidP="001303B8">
      <w:pPr>
        <w:pStyle w:val="2"/>
      </w:pPr>
      <w:bookmarkStart w:id="15" w:name="_Toc80258223"/>
      <w:r>
        <w:rPr>
          <w:rFonts w:hint="eastAsia"/>
        </w:rPr>
        <w:t>功能要求</w:t>
      </w:r>
      <w:bookmarkEnd w:id="15"/>
    </w:p>
    <w:p w:rsidR="009E1AF9" w:rsidRDefault="009E1AF9" w:rsidP="00C95088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对油液在线监测系统要实现的功能进行了说明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9E1AF9" w:rsidRDefault="009E1AF9" w:rsidP="00C95088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企业在对设备的润滑系统的设计时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，一项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新技术是否需要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主要是看该设备是否能解决设备中存在的问题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以方便生产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、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能产生经济效益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为此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对油液在线监测技术能实现的基本功能进行了阐述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包含在线监测功能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、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诊断功能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691629" w:rsidRPr="00E702E0" w:rsidRDefault="00B629AE" w:rsidP="00E702E0">
      <w:pPr>
        <w:pStyle w:val="2"/>
      </w:pPr>
      <w:bookmarkStart w:id="16" w:name="_Toc80258224"/>
      <w:r>
        <w:rPr>
          <w:rFonts w:hint="eastAsia"/>
        </w:rPr>
        <w:t>技术要求</w:t>
      </w:r>
      <w:bookmarkEnd w:id="16"/>
    </w:p>
    <w:p w:rsidR="00B629AE" w:rsidRDefault="00B629AE" w:rsidP="003744D0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对油液在线监测技术</w:t>
      </w:r>
      <w:r w:rsidR="000960CE">
        <w:rPr>
          <w:rFonts w:ascii="Times New Roman" w:eastAsia="宋体" w:hAnsi="Times New Roman"/>
          <w:b w:val="0"/>
          <w:color w:val="000000"/>
          <w:sz w:val="21"/>
          <w:szCs w:val="21"/>
        </w:rPr>
        <w:t>能实现的</w:t>
      </w:r>
      <w:r w:rsidR="000960C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功能</w:t>
      </w:r>
      <w:r w:rsidR="000960CE">
        <w:rPr>
          <w:rFonts w:ascii="Times New Roman" w:eastAsia="宋体" w:hAnsi="Times New Roman"/>
          <w:b w:val="0"/>
          <w:color w:val="000000"/>
          <w:sz w:val="21"/>
          <w:szCs w:val="21"/>
        </w:rPr>
        <w:t>作了几点技术要求</w:t>
      </w:r>
      <w:r w:rsidR="000960C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0960CE" w:rsidRDefault="00EA692F" w:rsidP="003744D0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（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1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）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阐述了油液在线监测技术的总体技术要求；</w:t>
      </w:r>
      <w:r w:rsidR="000960C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规定了油液在线监测系统实现在线监测、诊断分析功能应具备的技术要求，以</w:t>
      </w:r>
      <w:r w:rsid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作为</w:t>
      </w:r>
      <w:r w:rsidR="000960C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企业在进行油液在线监测</w:t>
      </w:r>
      <w:r w:rsid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设备</w:t>
      </w:r>
      <w:r w:rsidR="000960C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的</w:t>
      </w:r>
      <w:r w:rsid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选型、设计时的依据。</w:t>
      </w:r>
    </w:p>
    <w:p w:rsidR="00F77317" w:rsidRDefault="00EA692F" w:rsidP="003744D0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（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2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）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规定了油液在线监测技术的监测项目；</w:t>
      </w:r>
      <w:r w:rsidR="00F77317" w:rsidRP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钢铁企业关键</w:t>
      </w:r>
      <w:proofErr w:type="gramStart"/>
      <w:r w:rsidR="00F77317" w:rsidRP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动设备</w:t>
      </w:r>
      <w:proofErr w:type="gramEnd"/>
      <w:r w:rsidR="00F77317" w:rsidRP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包括卸煤机、推焦车、烧结机、高炉、连铸机、转炉、轧机等</w:t>
      </w:r>
      <w:r w:rsid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，根据钢铁企业的重要设备，</w:t>
      </w:r>
      <w:r w:rsidR="00F77317">
        <w:rPr>
          <w:rFonts w:ascii="Times New Roman" w:eastAsia="宋体" w:hAnsi="Times New Roman"/>
          <w:b w:val="0"/>
          <w:color w:val="000000"/>
          <w:sz w:val="21"/>
          <w:szCs w:val="21"/>
        </w:rPr>
        <w:t>钢铁</w:t>
      </w:r>
      <w:r w:rsidR="00837436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企业</w:t>
      </w:r>
      <w:r w:rsidR="00F77317">
        <w:rPr>
          <w:rFonts w:ascii="Times New Roman" w:eastAsia="宋体" w:hAnsi="Times New Roman"/>
          <w:b w:val="0"/>
          <w:color w:val="000000"/>
          <w:sz w:val="21"/>
          <w:szCs w:val="21"/>
        </w:rPr>
        <w:t>重点设备润滑油在线监测的具体项目见表</w:t>
      </w:r>
      <w:r w:rsid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1</w:t>
      </w:r>
      <w:r w:rsidR="00F7731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F77317" w:rsidRDefault="00F77317" w:rsidP="00F77317">
      <w:pPr>
        <w:spacing w:afterLines="50" w:after="156"/>
        <w:ind w:firstLine="420"/>
        <w:jc w:val="center"/>
        <w:rPr>
          <w:rFonts w:ascii="Times New Roman" w:eastAsia="宋体" w:hAnsi="Times New Roman"/>
          <w:bCs/>
          <w:color w:val="000000"/>
          <w:sz w:val="21"/>
          <w:szCs w:val="21"/>
        </w:rPr>
      </w:pPr>
      <w:r w:rsidRPr="00F77317">
        <w:rPr>
          <w:rFonts w:ascii="Times New Roman" w:eastAsia="宋体" w:hAnsi="Times New Roman" w:hint="eastAsia"/>
          <w:bCs/>
          <w:color w:val="000000"/>
          <w:sz w:val="21"/>
          <w:szCs w:val="21"/>
        </w:rPr>
        <w:t>表</w:t>
      </w:r>
      <w:r w:rsidRPr="00F77317">
        <w:rPr>
          <w:rFonts w:ascii="Times New Roman" w:eastAsia="宋体" w:hAnsi="Times New Roman" w:hint="eastAsia"/>
          <w:bCs/>
          <w:color w:val="000000"/>
          <w:sz w:val="21"/>
          <w:szCs w:val="21"/>
        </w:rPr>
        <w:t xml:space="preserve">1  </w:t>
      </w:r>
      <w:r w:rsidRPr="00F77317">
        <w:rPr>
          <w:rFonts w:ascii="Times New Roman" w:eastAsia="宋体" w:hAnsi="Times New Roman" w:hint="eastAsia"/>
          <w:bCs/>
          <w:color w:val="000000"/>
          <w:sz w:val="21"/>
          <w:szCs w:val="21"/>
        </w:rPr>
        <w:t>钢铁企业重点设备润滑油在线监测项目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6"/>
        <w:gridCol w:w="1990"/>
        <w:gridCol w:w="2783"/>
      </w:tblGrid>
      <w:tr w:rsidR="00B35660" w:rsidRPr="001302E2" w:rsidTr="00D9306F">
        <w:trPr>
          <w:trHeight w:hRule="exact" w:val="567"/>
          <w:jc w:val="center"/>
        </w:trPr>
        <w:tc>
          <w:tcPr>
            <w:tcW w:w="31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重点设备</w:t>
            </w:r>
          </w:p>
        </w:tc>
        <w:tc>
          <w:tcPr>
            <w:tcW w:w="1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润滑剂类型</w:t>
            </w:r>
          </w:p>
        </w:tc>
        <w:tc>
          <w:tcPr>
            <w:tcW w:w="278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监测项目</w:t>
            </w: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trike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烧结液压站</w:t>
            </w:r>
          </w:p>
        </w:tc>
        <w:tc>
          <w:tcPr>
            <w:tcW w:w="1990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液压油</w:t>
            </w:r>
          </w:p>
        </w:tc>
        <w:tc>
          <w:tcPr>
            <w:tcW w:w="2783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运动黏度、水分、污染颗粒度、温度</w:t>
            </w: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炼铁液压站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trike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炼钢液压站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轧钢液压站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left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lastRenderedPageBreak/>
              <w:t>连铸机油膜轴承</w:t>
            </w:r>
          </w:p>
        </w:tc>
        <w:tc>
          <w:tcPr>
            <w:tcW w:w="1990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油膜轴承油</w:t>
            </w:r>
          </w:p>
        </w:tc>
        <w:tc>
          <w:tcPr>
            <w:tcW w:w="2783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 w:hint="eastAsia"/>
                <w:strike/>
                <w:sz w:val="18"/>
                <w:szCs w:val="18"/>
              </w:rPr>
            </w:pPr>
            <w:r w:rsidRPr="001302E2">
              <w:rPr>
                <w:rFonts w:ascii="宋体" w:hint="eastAsia"/>
                <w:kern w:val="0"/>
                <w:sz w:val="18"/>
                <w:szCs w:val="18"/>
                <w:lang w:val="en-US" w:eastAsia="zh-CN"/>
              </w:rPr>
              <w:t>运动黏度、水分、污染颗粒度、温度</w:t>
            </w:r>
          </w:p>
        </w:tc>
      </w:tr>
      <w:tr w:rsidR="00B35660" w:rsidRPr="001302E2" w:rsidTr="00D9306F">
        <w:trPr>
          <w:trHeight w:hRule="exact" w:val="108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轧机支撑辊轴承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trike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烧结减速机</w:t>
            </w:r>
          </w:p>
        </w:tc>
        <w:tc>
          <w:tcPr>
            <w:tcW w:w="1990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工业闭式齿轮油</w:t>
            </w: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炼铁减速机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炼钢减速机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轧钢减速机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汽轮机</w:t>
            </w:r>
          </w:p>
        </w:tc>
        <w:tc>
          <w:tcPr>
            <w:tcW w:w="1990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汽轮机油</w:t>
            </w:r>
          </w:p>
        </w:tc>
        <w:tc>
          <w:tcPr>
            <w:tcW w:w="2783" w:type="dxa"/>
            <w:vMerge w:val="restart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 w:hint="eastAsia"/>
                <w:sz w:val="18"/>
                <w:szCs w:val="18"/>
                <w:u w:val="single"/>
              </w:rPr>
            </w:pPr>
            <w:r w:rsidRPr="001302E2">
              <w:rPr>
                <w:rFonts w:ascii="宋体" w:hint="eastAsia"/>
                <w:kern w:val="0"/>
                <w:sz w:val="18"/>
                <w:szCs w:val="18"/>
                <w:lang w:val="en-US" w:eastAsia="zh-CN"/>
              </w:rPr>
              <w:t>运动黏度、水分、污染颗粒度、温度</w:t>
            </w:r>
          </w:p>
        </w:tc>
      </w:tr>
      <w:tr w:rsidR="00B35660" w:rsidRPr="001302E2" w:rsidTr="00D9306F">
        <w:trPr>
          <w:trHeight w:hRule="exact" w:val="340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风机轴承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B35660" w:rsidRPr="001302E2" w:rsidTr="00D9306F">
        <w:trPr>
          <w:trHeight w:hRule="exact" w:val="628"/>
          <w:jc w:val="center"/>
        </w:trPr>
        <w:tc>
          <w:tcPr>
            <w:tcW w:w="3156" w:type="dxa"/>
            <w:vAlign w:val="center"/>
          </w:tcPr>
          <w:p w:rsidR="00B35660" w:rsidRPr="001302E2" w:rsidRDefault="00B35660" w:rsidP="00D9306F">
            <w:pPr>
              <w:spacing w:line="240" w:lineRule="exact"/>
              <w:ind w:firstLineChars="100" w:firstLine="180"/>
              <w:jc w:val="left"/>
              <w:rPr>
                <w:rFonts w:ascii="宋体" w:hAnsi="宋体"/>
                <w:sz w:val="18"/>
                <w:szCs w:val="18"/>
              </w:rPr>
            </w:pPr>
            <w:r w:rsidRPr="001302E2">
              <w:rPr>
                <w:rFonts w:ascii="宋体" w:hAnsi="宋体" w:hint="eastAsia"/>
                <w:sz w:val="18"/>
                <w:szCs w:val="18"/>
              </w:rPr>
              <w:t>电机轴承</w:t>
            </w:r>
          </w:p>
        </w:tc>
        <w:tc>
          <w:tcPr>
            <w:tcW w:w="1990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B35660" w:rsidRPr="001302E2" w:rsidRDefault="00B35660" w:rsidP="00D9306F">
            <w:pPr>
              <w:spacing w:line="240" w:lineRule="exact"/>
              <w:ind w:firstLine="36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F77317" w:rsidRDefault="00EA692F" w:rsidP="00B35660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（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3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）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对数据存储作了基本要求；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在线监测技术最大的特点便是实时性，运行过程中会产生大量的与油液相关的数据，而数据是分析设备状况的基础，因此必须对数据收集与储存作基本要求。导则中阐述并规定了油液在线监测技术的数据收集、储存的要求。</w:t>
      </w:r>
    </w:p>
    <w:p w:rsidR="00F77317" w:rsidRDefault="00EA692F" w:rsidP="00EA692F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（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）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规定了数据通信的要求；</w:t>
      </w:r>
      <w:r w:rsidR="007B656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油液在线监测技术的数据储存后，只有通过数据通信实现互联，才能正确显示，因此数据通信有着“</w:t>
      </w:r>
      <w:r w:rsidR="007B656F" w:rsidRPr="007B656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纽带</w:t>
      </w:r>
      <w:r w:rsidR="007B656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”的作用。导则规定了数据通信的接口设置、通信协议要求、数据格式，以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更有利于</w:t>
      </w:r>
      <w:r w:rsidR="007B656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实现工业现场的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油液</w:t>
      </w:r>
      <w:r w:rsidR="007B656F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在线监测</w:t>
      </w:r>
      <w:r w:rsidR="00255F9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255F9E" w:rsidRPr="00EE1B8D" w:rsidRDefault="00255F9E" w:rsidP="00EE1B8D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（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5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）对设备的安装作了要求；油液在线监测设备目前在钢铁企业暂时还没有普及，设备的安装没有统一的要求与标准，而安装正确与否，直接关系到监测的准确性与可靠性，因此须对油液在线监测设备作安装要求。</w:t>
      </w:r>
      <w:r w:rsidR="00B7753E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特别的，针对钢铁企业现场情况，将安装分为整机式安装、单传感器式安装，并对其安装形式、安装位置、监测点的选取作了具体要求。</w:t>
      </w:r>
    </w:p>
    <w:p w:rsidR="006614D4" w:rsidRPr="00E702E0" w:rsidRDefault="00EA692F" w:rsidP="00E702E0">
      <w:pPr>
        <w:pStyle w:val="2"/>
      </w:pPr>
      <w:bookmarkStart w:id="17" w:name="_Toc80258225"/>
      <w:r>
        <w:rPr>
          <w:rFonts w:hint="eastAsia"/>
        </w:rPr>
        <w:t>在线监测系统的试验</w:t>
      </w:r>
      <w:bookmarkEnd w:id="17"/>
    </w:p>
    <w:p w:rsidR="004717D4" w:rsidRDefault="00255F9E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产品</w:t>
      </w:r>
      <w:r w:rsidR="004717D4">
        <w:rPr>
          <w:rFonts w:ascii="Times New Roman" w:eastAsia="宋体" w:hAnsi="Times New Roman"/>
          <w:b w:val="0"/>
          <w:color w:val="000000"/>
          <w:sz w:val="21"/>
          <w:szCs w:val="21"/>
        </w:rPr>
        <w:t>在设计完成后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正式生产前</w:t>
      </w:r>
      <w:r w:rsidR="004717D4">
        <w:rPr>
          <w:rFonts w:ascii="Times New Roman" w:eastAsia="宋体" w:hAnsi="Times New Roman"/>
          <w:b w:val="0"/>
          <w:color w:val="000000"/>
          <w:sz w:val="21"/>
          <w:szCs w:val="21"/>
        </w:rPr>
        <w:t>必须</w:t>
      </w:r>
      <w:r w:rsidR="009267F0">
        <w:rPr>
          <w:rFonts w:ascii="Times New Roman" w:eastAsia="宋体" w:hAnsi="Times New Roman"/>
          <w:b w:val="0"/>
          <w:color w:val="000000"/>
          <w:sz w:val="21"/>
          <w:szCs w:val="21"/>
        </w:rPr>
        <w:t>根据试验标准</w:t>
      </w:r>
      <w:r w:rsidR="004717D4">
        <w:rPr>
          <w:rFonts w:ascii="Times New Roman" w:eastAsia="宋体" w:hAnsi="Times New Roman"/>
          <w:b w:val="0"/>
          <w:color w:val="000000"/>
          <w:sz w:val="21"/>
          <w:szCs w:val="21"/>
        </w:rPr>
        <w:t>进行型式试验</w:t>
      </w:r>
      <w:r w:rsidR="004717D4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，以验证新产品的可靠性，只有通过型式试验的产品方可投入生产；</w:t>
      </w:r>
    </w:p>
    <w:p w:rsidR="004717D4" w:rsidRDefault="004717D4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而为了进一步检验油液在线监测产品的可靠性与准确性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在产品出厂前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须进行出厂测试，只有通过出厂试验方可出厂。</w:t>
      </w:r>
    </w:p>
    <w:p w:rsidR="004717D4" w:rsidRDefault="004717D4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其中型式试验包含振动试验、恒定湿热试验、高低温试验、防护等级试验、电磁兼容试验。</w:t>
      </w:r>
      <w:r w:rsidR="009267F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出厂测试主要包含对整机油路测试、数据准确性测试</w:t>
      </w:r>
      <w:r w:rsid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等。</w:t>
      </w:r>
    </w:p>
    <w:p w:rsidR="009267F0" w:rsidRDefault="007342C7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4.8.1-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 w:rsidR="00AB3C75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4.8.5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为</w:t>
      </w: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振动试验、恒定湿热试验、高低温试验、防护等级试验、电磁兼容试验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，试验结果。</w:t>
      </w:r>
      <w:r w:rsidR="00AB3C75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 w:rsidR="00AB3C75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</w:t>
      </w:r>
      <w:r w:rsidR="00AB3C75">
        <w:rPr>
          <w:rFonts w:ascii="Times New Roman" w:eastAsia="宋体" w:hAnsi="Times New Roman"/>
          <w:b w:val="0"/>
          <w:color w:val="000000"/>
          <w:sz w:val="21"/>
          <w:szCs w:val="21"/>
        </w:rPr>
        <w:t>8.6</w:t>
      </w:r>
      <w:r w:rsidR="00AB3C75">
        <w:rPr>
          <w:rFonts w:ascii="Times New Roman" w:eastAsia="宋体" w:hAnsi="Times New Roman"/>
          <w:b w:val="0"/>
          <w:color w:val="000000"/>
          <w:sz w:val="21"/>
          <w:szCs w:val="21"/>
        </w:rPr>
        <w:t>为出厂测试报告</w:t>
      </w:r>
      <w:r w:rsidR="00016804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。</w:t>
      </w:r>
    </w:p>
    <w:p w:rsidR="007342C7" w:rsidRDefault="007342C7" w:rsidP="007342C7">
      <w:pPr>
        <w:pStyle w:val="a6"/>
        <w:spacing w:line="360" w:lineRule="auto"/>
        <w:ind w:rightChars="0" w:right="0" w:firstLine="964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05B5001" wp14:editId="67DF2180">
            <wp:extent cx="3295151" cy="4756150"/>
            <wp:effectExtent l="0" t="0" r="6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7511" cy="47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C7" w:rsidRDefault="007342C7" w:rsidP="007342C7">
      <w:pPr>
        <w:pStyle w:val="a6"/>
        <w:spacing w:line="360" w:lineRule="auto"/>
        <w:ind w:rightChars="0" w:right="0" w:firstLine="420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 xml:space="preserve">4.8.1 </w:t>
      </w: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振动试验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检测结果</w:t>
      </w:r>
    </w:p>
    <w:p w:rsidR="007342C7" w:rsidRDefault="007342C7" w:rsidP="007342C7">
      <w:pPr>
        <w:pStyle w:val="a6"/>
        <w:spacing w:line="360" w:lineRule="auto"/>
        <w:ind w:rightChars="0" w:right="0" w:firstLine="964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338795C" wp14:editId="0D398857">
            <wp:extent cx="3117850" cy="4176854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2403" cy="41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C7" w:rsidRDefault="007342C7" w:rsidP="007342C7">
      <w:pPr>
        <w:pStyle w:val="a6"/>
        <w:spacing w:line="360" w:lineRule="auto"/>
        <w:ind w:rightChars="0" w:right="0" w:firstLine="420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 w:rsid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4.8.</w:t>
      </w:r>
      <w:r w:rsidR="00062F09">
        <w:rPr>
          <w:rFonts w:ascii="Times New Roman" w:eastAsia="宋体" w:hAnsi="Times New Roman"/>
          <w:b w:val="0"/>
          <w:color w:val="000000"/>
          <w:sz w:val="21"/>
          <w:szCs w:val="21"/>
        </w:rPr>
        <w:t>2</w:t>
      </w: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恒定湿热</w:t>
      </w: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试验检测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结果</w:t>
      </w:r>
    </w:p>
    <w:p w:rsidR="007342C7" w:rsidRDefault="007342C7" w:rsidP="007342C7">
      <w:pPr>
        <w:pStyle w:val="a6"/>
        <w:spacing w:line="360" w:lineRule="auto"/>
        <w:ind w:rightChars="0" w:right="0" w:firstLineChars="95" w:firstLine="199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noProof/>
          <w:color w:val="000000"/>
          <w:sz w:val="21"/>
          <w:szCs w:val="21"/>
        </w:rPr>
        <w:drawing>
          <wp:inline distT="0" distB="0" distL="0" distR="0">
            <wp:extent cx="2824303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4" cy="36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09" w:rsidRDefault="00062F09" w:rsidP="007342C7">
      <w:pPr>
        <w:pStyle w:val="a6"/>
        <w:spacing w:line="360" w:lineRule="auto"/>
        <w:ind w:rightChars="0" w:right="0" w:firstLineChars="95" w:firstLine="458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C162DD4" wp14:editId="001E3FF3">
            <wp:extent cx="2812748" cy="4508500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6844" cy="45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2C7" w:rsidRDefault="007342C7" w:rsidP="007342C7">
      <w:pPr>
        <w:pStyle w:val="a6"/>
        <w:spacing w:line="360" w:lineRule="auto"/>
        <w:ind w:rightChars="0" w:right="0" w:firstLineChars="95" w:firstLine="199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 w:rsid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4.8.</w:t>
      </w:r>
      <w:r w:rsidR="00062F09">
        <w:rPr>
          <w:rFonts w:ascii="Times New Roman" w:eastAsia="宋体" w:hAnsi="Times New Roman"/>
          <w:b w:val="0"/>
          <w:color w:val="000000"/>
          <w:sz w:val="21"/>
          <w:szCs w:val="21"/>
        </w:rPr>
        <w:t>3</w:t>
      </w:r>
      <w:r w:rsid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高低温</w:t>
      </w:r>
      <w:r w:rsidRPr="007342C7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试验检测结果</w:t>
      </w:r>
    </w:p>
    <w:p w:rsidR="00062F09" w:rsidRDefault="00062F09" w:rsidP="007342C7">
      <w:pPr>
        <w:pStyle w:val="a6"/>
        <w:spacing w:line="360" w:lineRule="auto"/>
        <w:ind w:rightChars="0" w:right="0" w:firstLineChars="95" w:firstLine="458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3D35161" wp14:editId="15D43ECE">
            <wp:extent cx="2914972" cy="3524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8902" cy="354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09" w:rsidRDefault="00062F09" w:rsidP="007342C7">
      <w:pPr>
        <w:pStyle w:val="a6"/>
        <w:spacing w:line="360" w:lineRule="auto"/>
        <w:ind w:rightChars="0" w:right="0" w:firstLineChars="95" w:firstLine="199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4.8.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 xml:space="preserve">4 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I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P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等级</w:t>
      </w:r>
      <w:r w:rsidRP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试验检测结果</w:t>
      </w:r>
    </w:p>
    <w:p w:rsidR="00062F09" w:rsidRPr="00062F09" w:rsidRDefault="00062F09" w:rsidP="007342C7">
      <w:pPr>
        <w:pStyle w:val="a6"/>
        <w:spacing w:line="360" w:lineRule="auto"/>
        <w:ind w:rightChars="0" w:right="0" w:firstLineChars="95" w:firstLine="458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DFEEC70" wp14:editId="7946D190">
            <wp:extent cx="3098063" cy="4356100"/>
            <wp:effectExtent l="0" t="0" r="762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723" cy="43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09" w:rsidRDefault="00062F09" w:rsidP="007342C7">
      <w:pPr>
        <w:pStyle w:val="a6"/>
        <w:spacing w:line="360" w:lineRule="auto"/>
        <w:ind w:rightChars="0" w:right="0" w:firstLineChars="95" w:firstLine="199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 w:rsidRP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4.8.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5 EMC</w:t>
      </w:r>
      <w:r w:rsidRPr="00062F09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试验检测结果</w:t>
      </w:r>
    </w:p>
    <w:p w:rsidR="00AB3C75" w:rsidRDefault="00A53010" w:rsidP="00A53010">
      <w:pPr>
        <w:pStyle w:val="a6"/>
        <w:spacing w:line="360" w:lineRule="auto"/>
        <w:ind w:rightChars="0" w:right="0" w:firstLineChars="95" w:firstLine="458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44FEF3B" wp14:editId="2D58748B">
            <wp:extent cx="2971800" cy="330060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9045" cy="33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10" w:rsidRDefault="00A53010" w:rsidP="00A53010">
      <w:pPr>
        <w:pStyle w:val="a6"/>
        <w:spacing w:line="360" w:lineRule="auto"/>
        <w:ind w:rightChars="0" w:right="0" w:firstLineChars="95" w:firstLine="199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A5301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图</w:t>
      </w:r>
      <w:r w:rsidRPr="00A5301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 xml:space="preserve">4.8.5 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出厂测试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报告（部分）</w:t>
      </w:r>
    </w:p>
    <w:p w:rsidR="00546470" w:rsidRPr="00E702E0" w:rsidRDefault="00EA692F" w:rsidP="00E702E0">
      <w:pPr>
        <w:pStyle w:val="2"/>
      </w:pPr>
      <w:bookmarkStart w:id="18" w:name="_Toc80258226"/>
      <w:r>
        <w:rPr>
          <w:rFonts w:hint="eastAsia"/>
        </w:rPr>
        <w:lastRenderedPageBreak/>
        <w:t>在线监测系统的</w:t>
      </w:r>
      <w:r w:rsidR="00B35660">
        <w:rPr>
          <w:rFonts w:hint="eastAsia"/>
        </w:rPr>
        <w:t>生产</w:t>
      </w:r>
      <w:r>
        <w:rPr>
          <w:rFonts w:hint="eastAsia"/>
        </w:rPr>
        <w:t>调试与验收</w:t>
      </w:r>
      <w:bookmarkEnd w:id="18"/>
    </w:p>
    <w:p w:rsidR="000B2D35" w:rsidRDefault="009B0C15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油液在线监测设备完成后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须根据情况与用户使用情况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进行</w:t>
      </w:r>
      <w:r w:rsidR="00B35660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生产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调试，以更加匹配现场使用要求、满足用户需求，导则规定了油液在线监测设备现场调试后应满足的要求。</w:t>
      </w:r>
    </w:p>
    <w:p w:rsidR="00EA692F" w:rsidRDefault="009B0C15" w:rsidP="009B0C15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/>
          <w:b w:val="0"/>
          <w:color w:val="000000"/>
          <w:sz w:val="21"/>
          <w:szCs w:val="21"/>
        </w:rPr>
        <w:t>在现场调试完成后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须对油液在线监测设备验收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，</w:t>
      </w:r>
      <w:r>
        <w:rPr>
          <w:rFonts w:ascii="Times New Roman" w:eastAsia="宋体" w:hAnsi="Times New Roman"/>
          <w:b w:val="0"/>
          <w:color w:val="000000"/>
          <w:sz w:val="21"/>
          <w:szCs w:val="21"/>
        </w:rPr>
        <w:t>导则规定了验收要求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、应提交的资料。</w:t>
      </w:r>
    </w:p>
    <w:p w:rsidR="00B35660" w:rsidRDefault="00B35660" w:rsidP="00B35660">
      <w:pPr>
        <w:pStyle w:val="2"/>
        <w:numPr>
          <w:ilvl w:val="0"/>
          <w:numId w:val="0"/>
        </w:numPr>
      </w:pPr>
      <w:r w:rsidRPr="00B35660">
        <w:t xml:space="preserve">4.10 </w:t>
      </w:r>
      <w:r w:rsidRPr="00B35660">
        <w:t>在线监测系统的现场调试</w:t>
      </w:r>
      <w:r w:rsidRPr="00B35660">
        <w:rPr>
          <w:rFonts w:hint="eastAsia"/>
        </w:rPr>
        <w:t>、</w:t>
      </w:r>
      <w:r w:rsidRPr="00B35660">
        <w:t>维护与保养</w:t>
      </w:r>
    </w:p>
    <w:p w:rsidR="00B35660" w:rsidRDefault="00B35660" w:rsidP="00B35660">
      <w:pPr>
        <w:ind w:firstLine="420"/>
        <w:rPr>
          <w:sz w:val="21"/>
          <w:szCs w:val="21"/>
        </w:rPr>
      </w:pPr>
      <w:r w:rsidRPr="00B35660">
        <w:rPr>
          <w:rFonts w:hint="eastAsia"/>
          <w:sz w:val="21"/>
          <w:szCs w:val="21"/>
        </w:rPr>
        <w:t>油液在线监测设备在现场使用时，</w:t>
      </w:r>
      <w:r>
        <w:rPr>
          <w:rFonts w:hint="eastAsia"/>
          <w:sz w:val="21"/>
          <w:szCs w:val="21"/>
        </w:rPr>
        <w:t>在设备安装完成后</w:t>
      </w:r>
      <w:r w:rsidR="006C5DAE" w:rsidRPr="006C5DAE">
        <w:rPr>
          <w:rFonts w:hint="eastAsia"/>
          <w:sz w:val="21"/>
          <w:szCs w:val="21"/>
        </w:rPr>
        <w:t>须根据现场使用情况，</w:t>
      </w:r>
      <w:r w:rsidR="006C5DAE">
        <w:rPr>
          <w:rFonts w:hint="eastAsia"/>
          <w:sz w:val="21"/>
          <w:szCs w:val="21"/>
        </w:rPr>
        <w:t>进行现场调试，以最大程度满足现场使用要求，导则规定了油液在线监测系统的现场调试内容，包含首次启动、正常启动、关闭的操作步骤。</w:t>
      </w:r>
    </w:p>
    <w:p w:rsidR="006C5DAE" w:rsidRPr="00B35660" w:rsidRDefault="006C5DAE" w:rsidP="00B35660">
      <w:pPr>
        <w:ind w:firstLine="420"/>
        <w:rPr>
          <w:rFonts w:hint="eastAsia"/>
          <w:sz w:val="21"/>
          <w:szCs w:val="21"/>
        </w:rPr>
      </w:pPr>
      <w:r>
        <w:rPr>
          <w:sz w:val="21"/>
          <w:szCs w:val="21"/>
        </w:rPr>
        <w:t>说明了油液在线监测设备的维护</w:t>
      </w:r>
      <w:r>
        <w:rPr>
          <w:rFonts w:hint="eastAsia"/>
          <w:sz w:val="21"/>
          <w:szCs w:val="21"/>
        </w:rPr>
        <w:t>、</w:t>
      </w:r>
      <w:r>
        <w:rPr>
          <w:sz w:val="21"/>
          <w:szCs w:val="21"/>
        </w:rPr>
        <w:t>保养</w:t>
      </w:r>
      <w:r>
        <w:rPr>
          <w:rFonts w:hint="eastAsia"/>
          <w:sz w:val="21"/>
          <w:szCs w:val="21"/>
        </w:rPr>
        <w:t>。</w:t>
      </w:r>
      <w:bookmarkStart w:id="19" w:name="_GoBack"/>
      <w:bookmarkEnd w:id="19"/>
    </w:p>
    <w:p w:rsidR="00E702E0" w:rsidRPr="0098753D" w:rsidRDefault="00E702E0" w:rsidP="00E702E0">
      <w:pPr>
        <w:pStyle w:val="1"/>
      </w:pPr>
      <w:bookmarkStart w:id="20" w:name="_Toc5107752"/>
      <w:bookmarkStart w:id="21" w:name="_Toc5107881"/>
      <w:bookmarkStart w:id="22" w:name="_Toc80258227"/>
      <w:r w:rsidRPr="0098753D">
        <w:t>产业化情况、推广应用论证和预期达到的经济效果等情况</w:t>
      </w:r>
      <w:bookmarkEnd w:id="20"/>
      <w:bookmarkEnd w:id="21"/>
      <w:bookmarkEnd w:id="22"/>
    </w:p>
    <w:p w:rsidR="0069785C" w:rsidRPr="0069785C" w:rsidRDefault="0069785C" w:rsidP="0069785C">
      <w:pPr>
        <w:pStyle w:val="a6"/>
        <w:spacing w:line="360" w:lineRule="auto"/>
        <w:ind w:right="-175" w:firstLine="420"/>
        <w:jc w:val="left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设备润滑系统是一个典型的时变系统，其部分或全部结构参数是随着时间而变化。因此对于设备润滑应实施连续不间断的周期性监测。在实施离线监测时，虽然可通过缩短采样间隔作弥补，但还是有很多重要信息丢失的可能。摩擦学系统油液监测多年来多采用离线监测为主，远不能满足现代设备长周期连续监测需要。</w:t>
      </w:r>
    </w:p>
    <w:p w:rsidR="0069785C" w:rsidRPr="0069785C" w:rsidRDefault="0069785C" w:rsidP="0069785C">
      <w:pPr>
        <w:pStyle w:val="a6"/>
        <w:spacing w:line="360" w:lineRule="auto"/>
        <w:ind w:right="-175" w:firstLine="420"/>
        <w:jc w:val="left"/>
        <w:rPr>
          <w:rFonts w:ascii="Times New Roman" w:eastAsia="宋体" w:hAnsi="Times New Roman"/>
          <w:b w:val="0"/>
          <w:color w:val="000000"/>
          <w:sz w:val="21"/>
          <w:szCs w:val="21"/>
        </w:rPr>
      </w:pP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钢铁企业中</w:t>
      </w:r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各类设备的运动副在传递动力和运动的过程中发生摩擦、磨损是必然的。装备中任何一个</w:t>
      </w:r>
      <w:proofErr w:type="gramStart"/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摩擦副因摩擦</w:t>
      </w:r>
      <w:proofErr w:type="gramEnd"/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而导致的磨损性故障都将造成设备的部分或全部失效，造成巨大的经济损失。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而</w:t>
      </w:r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润滑油液是机械设备的“血液”，润滑失效直接导致机械传动部件的异常磨损，是机械装备故障的主要根源之一。</w:t>
      </w:r>
    </w:p>
    <w:p w:rsidR="0069785C" w:rsidRPr="0069785C" w:rsidRDefault="0069785C" w:rsidP="0069785C">
      <w:pPr>
        <w:pStyle w:val="a6"/>
        <w:spacing w:line="360" w:lineRule="auto"/>
        <w:ind w:right="-175" w:firstLine="420"/>
        <w:jc w:val="left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为了能更加准确、实时的对机械装备</w:t>
      </w:r>
      <w:proofErr w:type="gramStart"/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作更加</w:t>
      </w:r>
      <w:proofErr w:type="gramEnd"/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全面的分析，也为了能对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钢铁企业中</w:t>
      </w:r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机械装备的故障能更好的识别和诊断，来实现对设备的状态监测、故障原因分析等</w:t>
      </w:r>
      <w:proofErr w:type="gramStart"/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作出</w:t>
      </w:r>
      <w:proofErr w:type="gramEnd"/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准确性的判断，油液在线监测作为一种新型的监测技术</w:t>
      </w:r>
      <w:r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应用在钢铁企业中具有开创性的意义。</w:t>
      </w:r>
    </w:p>
    <w:p w:rsidR="0069785C" w:rsidRPr="005E56BC" w:rsidRDefault="0069785C" w:rsidP="0069785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69785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标准实施后，油液在线监测技术这种高效、便携的检测手段获得了标准支撑，更易被应用于工业企业的现场巡检和纳入油液监测的日常检测项目，对于减少设备异常磨损，降低设备故障率，提高工业企业生产效率具有积极促进作用，使其经济和社会效益的体现。</w:t>
      </w:r>
    </w:p>
    <w:p w:rsidR="00E702E0" w:rsidRPr="00E702E0" w:rsidRDefault="00E702E0" w:rsidP="00E702E0">
      <w:pPr>
        <w:pStyle w:val="1"/>
      </w:pPr>
      <w:bookmarkStart w:id="23" w:name="_Toc5107753"/>
      <w:bookmarkStart w:id="24" w:name="_Toc5107882"/>
      <w:bookmarkStart w:id="25" w:name="_Toc80258228"/>
      <w:r w:rsidRPr="00E702E0">
        <w:lastRenderedPageBreak/>
        <w:t>采用国际标准和国外先进标准情况</w:t>
      </w:r>
      <w:bookmarkEnd w:id="23"/>
      <w:bookmarkEnd w:id="24"/>
      <w:bookmarkEnd w:id="25"/>
    </w:p>
    <w:p w:rsidR="00E702E0" w:rsidRPr="005E56BC" w:rsidRDefault="00E702E0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国外尚无类似标准，</w:t>
      </w:r>
      <w:r w:rsidR="00BD1F98"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中未采用国际或国外标准。</w:t>
      </w:r>
    </w:p>
    <w:p w:rsidR="00E702E0" w:rsidRPr="00101088" w:rsidRDefault="00E702E0" w:rsidP="00E702E0">
      <w:pPr>
        <w:pStyle w:val="1"/>
      </w:pPr>
      <w:bookmarkStart w:id="26" w:name="_Toc5107754"/>
      <w:bookmarkStart w:id="27" w:name="_Toc5107883"/>
      <w:bookmarkStart w:id="28" w:name="_Toc80258229"/>
      <w:r w:rsidRPr="00101088">
        <w:t>与现行相关法律、法规、规章及相关标准，特别是强制性标准的协调性</w:t>
      </w:r>
      <w:bookmarkEnd w:id="26"/>
      <w:bookmarkEnd w:id="27"/>
      <w:bookmarkEnd w:id="28"/>
    </w:p>
    <w:p w:rsidR="00101088" w:rsidRPr="005E56BC" w:rsidRDefault="00101088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5E56BC">
        <w:rPr>
          <w:rFonts w:ascii="Times New Roman" w:eastAsia="宋体" w:hAnsi="Times New Roman" w:hint="eastAsia"/>
          <w:b w:val="0"/>
          <w:color w:val="000000"/>
          <w:sz w:val="21"/>
          <w:szCs w:val="21"/>
        </w:rPr>
        <w:t>本导则与现行相关法律、法规、规章及相关标准相协调。</w:t>
      </w:r>
    </w:p>
    <w:p w:rsidR="00E702E0" w:rsidRPr="00E702E0" w:rsidRDefault="00E702E0" w:rsidP="00E702E0">
      <w:pPr>
        <w:pStyle w:val="1"/>
      </w:pPr>
      <w:bookmarkStart w:id="29" w:name="_Toc5107755"/>
      <w:bookmarkStart w:id="30" w:name="_Toc5107884"/>
      <w:bookmarkStart w:id="31" w:name="_Toc80258230"/>
      <w:r w:rsidRPr="00E702E0">
        <w:t>重大分歧意见的处理经过和依据</w:t>
      </w:r>
      <w:bookmarkEnd w:id="29"/>
      <w:bookmarkEnd w:id="30"/>
      <w:bookmarkEnd w:id="31"/>
    </w:p>
    <w:p w:rsidR="00E702E0" w:rsidRPr="005E56BC" w:rsidRDefault="00E702E0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评审答辩后填写</w:t>
      </w:r>
    </w:p>
    <w:p w:rsidR="00E702E0" w:rsidRPr="00E702E0" w:rsidRDefault="00E702E0" w:rsidP="00E702E0">
      <w:pPr>
        <w:pStyle w:val="1"/>
      </w:pPr>
      <w:bookmarkStart w:id="32" w:name="_Toc5107756"/>
      <w:bookmarkStart w:id="33" w:name="_Toc5107885"/>
      <w:bookmarkStart w:id="34" w:name="_Toc80258231"/>
      <w:r w:rsidRPr="00E702E0">
        <w:t>标准性质的建议说明</w:t>
      </w:r>
      <w:bookmarkEnd w:id="32"/>
      <w:bookmarkEnd w:id="33"/>
      <w:bookmarkEnd w:id="34"/>
    </w:p>
    <w:p w:rsidR="00E702E0" w:rsidRPr="005E56BC" w:rsidRDefault="00BD1F98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="00E702E0"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建议作为推荐性行业标准发布，实行。</w:t>
      </w:r>
    </w:p>
    <w:p w:rsidR="00E702E0" w:rsidRPr="00DE6EAC" w:rsidRDefault="00E702E0" w:rsidP="00DE6EAC">
      <w:pPr>
        <w:pStyle w:val="1"/>
      </w:pPr>
      <w:bookmarkStart w:id="35" w:name="_Toc5107757"/>
      <w:bookmarkStart w:id="36" w:name="_Toc5107886"/>
      <w:bookmarkStart w:id="37" w:name="_Toc80258232"/>
      <w:r w:rsidRPr="00DE6EAC">
        <w:t>贯彻标准的要求和措施建议</w:t>
      </w:r>
      <w:bookmarkEnd w:id="35"/>
      <w:bookmarkEnd w:id="36"/>
      <w:bookmarkEnd w:id="37"/>
    </w:p>
    <w:p w:rsidR="00E702E0" w:rsidRPr="00632880" w:rsidRDefault="00E702E0" w:rsidP="00632880">
      <w:pPr>
        <w:snapToGrid w:val="0"/>
        <w:ind w:firstLine="420"/>
        <w:rPr>
          <w:rFonts w:ascii="Times New Roman" w:hAnsi="Times New Roman" w:cs="Times New Roman"/>
          <w:color w:val="FF0000"/>
          <w:sz w:val="21"/>
        </w:rPr>
      </w:pPr>
      <w:r w:rsidRPr="00632880">
        <w:rPr>
          <w:rFonts w:ascii="Times New Roman" w:hAnsi="Times New Roman" w:cs="Times New Roman"/>
          <w:color w:val="FF0000"/>
          <w:sz w:val="21"/>
        </w:rPr>
        <w:t>评审答辩后填写</w:t>
      </w:r>
    </w:p>
    <w:p w:rsidR="00E702E0" w:rsidRPr="00DE6EAC" w:rsidRDefault="00E702E0" w:rsidP="00DE6EAC">
      <w:pPr>
        <w:pStyle w:val="1"/>
      </w:pPr>
      <w:bookmarkStart w:id="38" w:name="_Toc5107758"/>
      <w:bookmarkStart w:id="39" w:name="_Toc5107887"/>
      <w:bookmarkStart w:id="40" w:name="_Toc80258233"/>
      <w:r w:rsidRPr="00DE6EAC">
        <w:t>废止现行相关标准的建议</w:t>
      </w:r>
      <w:bookmarkEnd w:id="38"/>
      <w:bookmarkEnd w:id="39"/>
      <w:bookmarkEnd w:id="40"/>
    </w:p>
    <w:p w:rsidR="00E702E0" w:rsidRPr="005E56BC" w:rsidRDefault="00BD1F98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="00E702E0"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属于行业空白区域，目前尚无相关标准与</w:t>
      </w: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本导则</w:t>
      </w:r>
      <w:r w:rsidR="00E702E0"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冲突，无需废除相关标准。</w:t>
      </w:r>
    </w:p>
    <w:p w:rsidR="00E702E0" w:rsidRPr="00DE6EAC" w:rsidRDefault="00E702E0" w:rsidP="00DE6EAC">
      <w:pPr>
        <w:pStyle w:val="1"/>
      </w:pPr>
      <w:bookmarkStart w:id="41" w:name="_Toc5107759"/>
      <w:bookmarkStart w:id="42" w:name="_Toc5107888"/>
      <w:bookmarkStart w:id="43" w:name="_Toc80258234"/>
      <w:r w:rsidRPr="00DE6EAC">
        <w:t>其它应予说明的事项</w:t>
      </w:r>
      <w:bookmarkEnd w:id="41"/>
      <w:bookmarkEnd w:id="42"/>
      <w:bookmarkEnd w:id="43"/>
    </w:p>
    <w:p w:rsidR="00E702E0" w:rsidRPr="005E56BC" w:rsidRDefault="00E702E0" w:rsidP="005E56BC">
      <w:pPr>
        <w:pStyle w:val="a6"/>
        <w:spacing w:line="360" w:lineRule="auto"/>
        <w:ind w:rightChars="0" w:right="0" w:firstLine="420"/>
        <w:jc w:val="both"/>
        <w:rPr>
          <w:rFonts w:ascii="Times New Roman" w:eastAsia="宋体" w:hAnsi="Times New Roman"/>
          <w:b w:val="0"/>
          <w:color w:val="000000"/>
          <w:sz w:val="21"/>
          <w:szCs w:val="21"/>
        </w:rPr>
      </w:pPr>
      <w:r w:rsidRPr="005E56BC">
        <w:rPr>
          <w:rFonts w:ascii="Times New Roman" w:eastAsia="宋体" w:hAnsi="Times New Roman"/>
          <w:b w:val="0"/>
          <w:color w:val="000000"/>
          <w:sz w:val="21"/>
          <w:szCs w:val="21"/>
        </w:rPr>
        <w:t>无。</w:t>
      </w:r>
    </w:p>
    <w:p w:rsidR="009D37DD" w:rsidRPr="00E702E0" w:rsidRDefault="009D37DD" w:rsidP="005E56BC">
      <w:pPr>
        <w:pStyle w:val="a6"/>
        <w:spacing w:line="360" w:lineRule="auto"/>
        <w:ind w:rightChars="0" w:right="0" w:firstLine="964"/>
        <w:jc w:val="both"/>
        <w:rPr>
          <w:rFonts w:ascii="Times New Roman" w:eastAsia="宋体" w:hAnsi="Times New Roman"/>
        </w:rPr>
      </w:pPr>
    </w:p>
    <w:sectPr w:rsidR="009D37DD" w:rsidRPr="00E702E0" w:rsidSect="00C101E0">
      <w:footerReference w:type="default" r:id="rId22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D3" w:rsidRDefault="00B63DD3" w:rsidP="00E702E0">
      <w:pPr>
        <w:ind w:firstLine="480"/>
      </w:pPr>
      <w:r>
        <w:separator/>
      </w:r>
    </w:p>
  </w:endnote>
  <w:endnote w:type="continuationSeparator" w:id="0">
    <w:p w:rsidR="00B63DD3" w:rsidRDefault="00B63DD3" w:rsidP="00E702E0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Default="0010115D" w:rsidP="00B97B5D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Default="0010115D" w:rsidP="00E702E0">
    <w:pPr>
      <w:pStyle w:val="a4"/>
      <w:ind w:firstLine="360"/>
      <w:jc w:val="center"/>
    </w:pPr>
  </w:p>
  <w:p w:rsidR="0010115D" w:rsidRDefault="0010115D" w:rsidP="00E702E0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Default="0010115D" w:rsidP="00B97B5D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967573"/>
      <w:docPartObj>
        <w:docPartGallery w:val="Page Numbers (Bottom of Page)"/>
        <w:docPartUnique/>
      </w:docPartObj>
    </w:sdtPr>
    <w:sdtEndPr/>
    <w:sdtContent>
      <w:p w:rsidR="0010115D" w:rsidRDefault="0010115D" w:rsidP="00E702E0">
        <w:pPr>
          <w:pStyle w:val="a4"/>
          <w:ind w:firstLine="360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 xml:space="preserve"> PAGE   \* MERGEFORMAT </w:instrText>
        </w:r>
        <w:r>
          <w:rPr>
            <w:noProof/>
            <w:lang w:val="zh-CN"/>
          </w:rPr>
          <w:fldChar w:fldCharType="separate"/>
        </w:r>
        <w:r w:rsidR="006C5DAE">
          <w:rPr>
            <w:noProof/>
            <w:lang w:val="zh-CN"/>
          </w:rPr>
          <w:t>-</w:t>
        </w:r>
        <w:r w:rsidR="006C5DAE" w:rsidRPr="006C5DAE">
          <w:rPr>
            <w:noProof/>
          </w:rPr>
          <w:t xml:space="preserve"> 9 -</w:t>
        </w:r>
        <w:r>
          <w:rPr>
            <w:noProof/>
          </w:rPr>
          <w:fldChar w:fldCharType="end"/>
        </w:r>
      </w:p>
    </w:sdtContent>
  </w:sdt>
  <w:p w:rsidR="0010115D" w:rsidRDefault="0010115D" w:rsidP="00E702E0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D3" w:rsidRDefault="00B63DD3" w:rsidP="00E702E0">
      <w:pPr>
        <w:ind w:firstLine="480"/>
      </w:pPr>
      <w:r>
        <w:separator/>
      </w:r>
    </w:p>
  </w:footnote>
  <w:footnote w:type="continuationSeparator" w:id="0">
    <w:p w:rsidR="00B63DD3" w:rsidRDefault="00B63DD3" w:rsidP="00E702E0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Default="0010115D" w:rsidP="00B97B5D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Pr="00B97B5D" w:rsidRDefault="0010115D" w:rsidP="00B97B5D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Default="0010115D" w:rsidP="00B97B5D">
    <w:pPr>
      <w:pStyle w:val="a3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15D" w:rsidRPr="00433B1A" w:rsidRDefault="0010115D" w:rsidP="00E702E0">
    <w:pPr>
      <w:pStyle w:val="a3"/>
      <w:pBdr>
        <w:bottom w:val="single" w:sz="4" w:space="1" w:color="auto"/>
      </w:pBdr>
      <w:ind w:firstLine="360"/>
      <w:jc w:val="lef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B4DF4"/>
    <w:multiLevelType w:val="multilevel"/>
    <w:tmpl w:val="3C6C584A"/>
    <w:lvl w:ilvl="0">
      <w:start w:val="1"/>
      <w:numFmt w:val="decimal"/>
      <w:pStyle w:val="1"/>
      <w:lvlText w:val="%1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 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 "/>
      <w:lvlJc w:val="left"/>
      <w:pPr>
        <w:ind w:left="1135" w:hanging="709"/>
      </w:pPr>
      <w:rPr>
        <w:rFonts w:hint="eastAsia"/>
      </w:rPr>
    </w:lvl>
    <w:lvl w:ilvl="3">
      <w:start w:val="1"/>
      <w:numFmt w:val="decimal"/>
      <w:lvlText w:val="%1.%2.%3.%4 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5FC8432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9F"/>
    <w:rsid w:val="00006610"/>
    <w:rsid w:val="00016804"/>
    <w:rsid w:val="00022A1F"/>
    <w:rsid w:val="00032BCB"/>
    <w:rsid w:val="00043A3B"/>
    <w:rsid w:val="00047699"/>
    <w:rsid w:val="00054BFA"/>
    <w:rsid w:val="00062F09"/>
    <w:rsid w:val="0006519E"/>
    <w:rsid w:val="000855FA"/>
    <w:rsid w:val="000960CE"/>
    <w:rsid w:val="000A5646"/>
    <w:rsid w:val="000B2D35"/>
    <w:rsid w:val="000E0EED"/>
    <w:rsid w:val="000F0871"/>
    <w:rsid w:val="000F3033"/>
    <w:rsid w:val="000F7ADC"/>
    <w:rsid w:val="00101088"/>
    <w:rsid w:val="0010115D"/>
    <w:rsid w:val="00125B11"/>
    <w:rsid w:val="001303B8"/>
    <w:rsid w:val="00130969"/>
    <w:rsid w:val="00132144"/>
    <w:rsid w:val="001400C5"/>
    <w:rsid w:val="001466A0"/>
    <w:rsid w:val="001534E4"/>
    <w:rsid w:val="00166218"/>
    <w:rsid w:val="00174955"/>
    <w:rsid w:val="001A4AFA"/>
    <w:rsid w:val="001C22A1"/>
    <w:rsid w:val="001C5A2E"/>
    <w:rsid w:val="001E10E1"/>
    <w:rsid w:val="001E33A6"/>
    <w:rsid w:val="00216DD6"/>
    <w:rsid w:val="00230914"/>
    <w:rsid w:val="002315F0"/>
    <w:rsid w:val="0023776D"/>
    <w:rsid w:val="00241C13"/>
    <w:rsid w:val="00250202"/>
    <w:rsid w:val="00254265"/>
    <w:rsid w:val="00255F9E"/>
    <w:rsid w:val="00294A9F"/>
    <w:rsid w:val="002961C4"/>
    <w:rsid w:val="002B4EE1"/>
    <w:rsid w:val="002D1E21"/>
    <w:rsid w:val="002E28C9"/>
    <w:rsid w:val="00303D20"/>
    <w:rsid w:val="0030581A"/>
    <w:rsid w:val="003306FB"/>
    <w:rsid w:val="00356337"/>
    <w:rsid w:val="00360E77"/>
    <w:rsid w:val="003744D0"/>
    <w:rsid w:val="00386A1C"/>
    <w:rsid w:val="0039438D"/>
    <w:rsid w:val="00394EC1"/>
    <w:rsid w:val="003C2741"/>
    <w:rsid w:val="003C702D"/>
    <w:rsid w:val="003D1ED7"/>
    <w:rsid w:val="003D5519"/>
    <w:rsid w:val="003E2766"/>
    <w:rsid w:val="003F7289"/>
    <w:rsid w:val="00401017"/>
    <w:rsid w:val="00412C31"/>
    <w:rsid w:val="0041534E"/>
    <w:rsid w:val="00423886"/>
    <w:rsid w:val="00433B1A"/>
    <w:rsid w:val="00435AF4"/>
    <w:rsid w:val="00447F1A"/>
    <w:rsid w:val="00454286"/>
    <w:rsid w:val="004548E0"/>
    <w:rsid w:val="00461603"/>
    <w:rsid w:val="00467711"/>
    <w:rsid w:val="004717D4"/>
    <w:rsid w:val="00477E5F"/>
    <w:rsid w:val="00481074"/>
    <w:rsid w:val="00486E9C"/>
    <w:rsid w:val="0049352C"/>
    <w:rsid w:val="004B38D4"/>
    <w:rsid w:val="004C23B1"/>
    <w:rsid w:val="004C4FAD"/>
    <w:rsid w:val="004C79F2"/>
    <w:rsid w:val="004E44B3"/>
    <w:rsid w:val="004E7917"/>
    <w:rsid w:val="00504282"/>
    <w:rsid w:val="005271D3"/>
    <w:rsid w:val="005302B2"/>
    <w:rsid w:val="005348F4"/>
    <w:rsid w:val="00535A3F"/>
    <w:rsid w:val="00537E21"/>
    <w:rsid w:val="005439A4"/>
    <w:rsid w:val="00546470"/>
    <w:rsid w:val="00551DFF"/>
    <w:rsid w:val="005848B0"/>
    <w:rsid w:val="005859CB"/>
    <w:rsid w:val="005B6FCC"/>
    <w:rsid w:val="005D4DC1"/>
    <w:rsid w:val="005E2E00"/>
    <w:rsid w:val="005E308B"/>
    <w:rsid w:val="005E56BC"/>
    <w:rsid w:val="00630F3D"/>
    <w:rsid w:val="00632880"/>
    <w:rsid w:val="00650004"/>
    <w:rsid w:val="00653313"/>
    <w:rsid w:val="006549E7"/>
    <w:rsid w:val="00655553"/>
    <w:rsid w:val="006614D4"/>
    <w:rsid w:val="0067169D"/>
    <w:rsid w:val="0068112B"/>
    <w:rsid w:val="00683038"/>
    <w:rsid w:val="00685CDF"/>
    <w:rsid w:val="00691629"/>
    <w:rsid w:val="0069522A"/>
    <w:rsid w:val="0069785C"/>
    <w:rsid w:val="006C5DAE"/>
    <w:rsid w:val="006D49FA"/>
    <w:rsid w:val="00705A7D"/>
    <w:rsid w:val="00705EE8"/>
    <w:rsid w:val="00721E6E"/>
    <w:rsid w:val="00725271"/>
    <w:rsid w:val="007342C7"/>
    <w:rsid w:val="0074479A"/>
    <w:rsid w:val="007708FB"/>
    <w:rsid w:val="00774C3B"/>
    <w:rsid w:val="00780358"/>
    <w:rsid w:val="0078252D"/>
    <w:rsid w:val="00796479"/>
    <w:rsid w:val="007A48BD"/>
    <w:rsid w:val="007A6E74"/>
    <w:rsid w:val="007A7CDC"/>
    <w:rsid w:val="007B312A"/>
    <w:rsid w:val="007B656F"/>
    <w:rsid w:val="007B6D39"/>
    <w:rsid w:val="007D13EB"/>
    <w:rsid w:val="007D34F3"/>
    <w:rsid w:val="007D3580"/>
    <w:rsid w:val="00806D82"/>
    <w:rsid w:val="00814E8A"/>
    <w:rsid w:val="00822077"/>
    <w:rsid w:val="00837436"/>
    <w:rsid w:val="00851305"/>
    <w:rsid w:val="00851C86"/>
    <w:rsid w:val="008669F5"/>
    <w:rsid w:val="008B00A5"/>
    <w:rsid w:val="008B2523"/>
    <w:rsid w:val="008B2BCB"/>
    <w:rsid w:val="008F4A57"/>
    <w:rsid w:val="008F6832"/>
    <w:rsid w:val="008F6EB4"/>
    <w:rsid w:val="00903F70"/>
    <w:rsid w:val="00906866"/>
    <w:rsid w:val="009267F0"/>
    <w:rsid w:val="009364B5"/>
    <w:rsid w:val="00937236"/>
    <w:rsid w:val="009409F8"/>
    <w:rsid w:val="00945266"/>
    <w:rsid w:val="009507E6"/>
    <w:rsid w:val="00951AAF"/>
    <w:rsid w:val="009554E1"/>
    <w:rsid w:val="009740DE"/>
    <w:rsid w:val="0098753D"/>
    <w:rsid w:val="009B0C15"/>
    <w:rsid w:val="009B562E"/>
    <w:rsid w:val="009B613F"/>
    <w:rsid w:val="009D1229"/>
    <w:rsid w:val="009D32C4"/>
    <w:rsid w:val="009D37DD"/>
    <w:rsid w:val="009D61E2"/>
    <w:rsid w:val="009E0498"/>
    <w:rsid w:val="009E086A"/>
    <w:rsid w:val="009E1AF9"/>
    <w:rsid w:val="009E421E"/>
    <w:rsid w:val="009F4591"/>
    <w:rsid w:val="009F6C54"/>
    <w:rsid w:val="009F6CD5"/>
    <w:rsid w:val="00A17AA7"/>
    <w:rsid w:val="00A37BED"/>
    <w:rsid w:val="00A44504"/>
    <w:rsid w:val="00A53010"/>
    <w:rsid w:val="00A65667"/>
    <w:rsid w:val="00A73F7C"/>
    <w:rsid w:val="00A80C39"/>
    <w:rsid w:val="00A8362D"/>
    <w:rsid w:val="00A9648F"/>
    <w:rsid w:val="00AB3C75"/>
    <w:rsid w:val="00AC25BB"/>
    <w:rsid w:val="00AD1076"/>
    <w:rsid w:val="00AF5738"/>
    <w:rsid w:val="00B037F1"/>
    <w:rsid w:val="00B15366"/>
    <w:rsid w:val="00B35660"/>
    <w:rsid w:val="00B461F0"/>
    <w:rsid w:val="00B52F42"/>
    <w:rsid w:val="00B629AE"/>
    <w:rsid w:val="00B63AF9"/>
    <w:rsid w:val="00B63DD3"/>
    <w:rsid w:val="00B7753E"/>
    <w:rsid w:val="00B97846"/>
    <w:rsid w:val="00B97B5D"/>
    <w:rsid w:val="00BA232D"/>
    <w:rsid w:val="00BD0C87"/>
    <w:rsid w:val="00BD1F98"/>
    <w:rsid w:val="00BD5100"/>
    <w:rsid w:val="00BE218C"/>
    <w:rsid w:val="00C101E0"/>
    <w:rsid w:val="00C104E9"/>
    <w:rsid w:val="00C131AC"/>
    <w:rsid w:val="00C14669"/>
    <w:rsid w:val="00C23363"/>
    <w:rsid w:val="00C3223C"/>
    <w:rsid w:val="00C33E23"/>
    <w:rsid w:val="00C41EC6"/>
    <w:rsid w:val="00C4279F"/>
    <w:rsid w:val="00C60DEF"/>
    <w:rsid w:val="00C7452B"/>
    <w:rsid w:val="00C92E21"/>
    <w:rsid w:val="00C95088"/>
    <w:rsid w:val="00CB43D1"/>
    <w:rsid w:val="00CE301D"/>
    <w:rsid w:val="00CE399D"/>
    <w:rsid w:val="00CF1BC4"/>
    <w:rsid w:val="00D01E0C"/>
    <w:rsid w:val="00D03327"/>
    <w:rsid w:val="00D06EBF"/>
    <w:rsid w:val="00D20B5C"/>
    <w:rsid w:val="00D30065"/>
    <w:rsid w:val="00D776FC"/>
    <w:rsid w:val="00D96A77"/>
    <w:rsid w:val="00DA12E8"/>
    <w:rsid w:val="00DA16AE"/>
    <w:rsid w:val="00DC7F8F"/>
    <w:rsid w:val="00DE467B"/>
    <w:rsid w:val="00DE6EAC"/>
    <w:rsid w:val="00DE70F0"/>
    <w:rsid w:val="00DF402B"/>
    <w:rsid w:val="00E005C3"/>
    <w:rsid w:val="00E00D3D"/>
    <w:rsid w:val="00E019B7"/>
    <w:rsid w:val="00E1240B"/>
    <w:rsid w:val="00E1756D"/>
    <w:rsid w:val="00E362A0"/>
    <w:rsid w:val="00E41275"/>
    <w:rsid w:val="00E4263C"/>
    <w:rsid w:val="00E42AB8"/>
    <w:rsid w:val="00E702E0"/>
    <w:rsid w:val="00E775D9"/>
    <w:rsid w:val="00E820F6"/>
    <w:rsid w:val="00E8489D"/>
    <w:rsid w:val="00E879CD"/>
    <w:rsid w:val="00EA2B7B"/>
    <w:rsid w:val="00EA34AD"/>
    <w:rsid w:val="00EA692F"/>
    <w:rsid w:val="00EB5B5F"/>
    <w:rsid w:val="00ED38F3"/>
    <w:rsid w:val="00EE1B8D"/>
    <w:rsid w:val="00F02B94"/>
    <w:rsid w:val="00F225FD"/>
    <w:rsid w:val="00F22D61"/>
    <w:rsid w:val="00F370A1"/>
    <w:rsid w:val="00F41353"/>
    <w:rsid w:val="00F52A03"/>
    <w:rsid w:val="00F60EF5"/>
    <w:rsid w:val="00F710A7"/>
    <w:rsid w:val="00F73DE0"/>
    <w:rsid w:val="00F77317"/>
    <w:rsid w:val="00FC6926"/>
    <w:rsid w:val="00FC70C8"/>
    <w:rsid w:val="00FD0607"/>
    <w:rsid w:val="00FE1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62E16A-DC03-47C4-8354-F5DA64EF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2E0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next w:val="a"/>
    <w:link w:val="1Char"/>
    <w:qFormat/>
    <w:rsid w:val="00E702E0"/>
    <w:pPr>
      <w:keepNext/>
      <w:keepLines/>
      <w:numPr>
        <w:numId w:val="1"/>
      </w:numPr>
      <w:spacing w:before="120" w:after="120"/>
      <w:ind w:left="0" w:firstLine="0"/>
      <w:outlineLvl w:val="0"/>
    </w:pPr>
    <w:rPr>
      <w:rFonts w:ascii="Times New Roman" w:eastAsiaTheme="majorEastAsia" w:hAnsi="Times New Roman"/>
      <w:b/>
      <w:bCs/>
      <w:kern w:val="44"/>
      <w:sz w:val="32"/>
      <w:szCs w:val="44"/>
    </w:rPr>
  </w:style>
  <w:style w:type="paragraph" w:styleId="2">
    <w:name w:val="heading 2"/>
    <w:next w:val="a"/>
    <w:link w:val="2Char"/>
    <w:uiPriority w:val="9"/>
    <w:unhideWhenUsed/>
    <w:qFormat/>
    <w:rsid w:val="00E702E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eastAsiaTheme="majorEastAsia" w:hAnsi="Times New Roman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4A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4A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4A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4A9F"/>
    <w:rPr>
      <w:sz w:val="18"/>
      <w:szCs w:val="18"/>
    </w:rPr>
  </w:style>
  <w:style w:type="paragraph" w:customStyle="1" w:styleId="a5">
    <w:name w:val="封面标准名称"/>
    <w:rsid w:val="003C2741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character" w:customStyle="1" w:styleId="Char1">
    <w:name w:val="正文文本 Char"/>
    <w:link w:val="a6"/>
    <w:rsid w:val="00535A3F"/>
    <w:rPr>
      <w:rFonts w:ascii="黑体" w:eastAsia="黑体" w:hAnsi="宋体"/>
      <w:b/>
      <w:bCs/>
      <w:sz w:val="48"/>
      <w:szCs w:val="24"/>
    </w:rPr>
  </w:style>
  <w:style w:type="paragraph" w:styleId="a6">
    <w:name w:val="Body Text"/>
    <w:basedOn w:val="a"/>
    <w:link w:val="Char1"/>
    <w:rsid w:val="00535A3F"/>
    <w:pPr>
      <w:spacing w:line="240" w:lineRule="atLeast"/>
      <w:ind w:rightChars="-73" w:right="-153"/>
      <w:jc w:val="center"/>
    </w:pPr>
    <w:rPr>
      <w:rFonts w:ascii="黑体" w:eastAsia="黑体" w:hAnsi="宋体"/>
      <w:b/>
      <w:bCs/>
      <w:sz w:val="48"/>
      <w:szCs w:val="24"/>
    </w:rPr>
  </w:style>
  <w:style w:type="character" w:customStyle="1" w:styleId="Char10">
    <w:name w:val="正文文本 Char1"/>
    <w:basedOn w:val="a0"/>
    <w:uiPriority w:val="99"/>
    <w:semiHidden/>
    <w:rsid w:val="00535A3F"/>
  </w:style>
  <w:style w:type="paragraph" w:styleId="a7">
    <w:name w:val="Normal (Web)"/>
    <w:basedOn w:val="a"/>
    <w:uiPriority w:val="99"/>
    <w:unhideWhenUsed/>
    <w:rsid w:val="006614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DE467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E467B"/>
    <w:rPr>
      <w:sz w:val="18"/>
      <w:szCs w:val="18"/>
    </w:rPr>
  </w:style>
  <w:style w:type="paragraph" w:styleId="a9">
    <w:name w:val="List Paragraph"/>
    <w:basedOn w:val="a"/>
    <w:uiPriority w:val="34"/>
    <w:qFormat/>
    <w:rsid w:val="00F710A7"/>
    <w:pPr>
      <w:ind w:firstLine="420"/>
    </w:pPr>
  </w:style>
  <w:style w:type="character" w:customStyle="1" w:styleId="1Char">
    <w:name w:val="标题 1 Char"/>
    <w:basedOn w:val="a0"/>
    <w:link w:val="1"/>
    <w:rsid w:val="00E702E0"/>
    <w:rPr>
      <w:rFonts w:ascii="Times New Roman" w:eastAsiaTheme="majorEastAsia" w:hAnsi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E702E0"/>
    <w:rPr>
      <w:rFonts w:ascii="Times New Roman" w:eastAsiaTheme="majorEastAsia" w:hAnsi="Times New Roman" w:cstheme="majorBidi"/>
      <w:b/>
      <w:bCs/>
      <w:sz w:val="28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03D20"/>
    <w:pPr>
      <w:tabs>
        <w:tab w:val="left" w:pos="284"/>
        <w:tab w:val="left" w:pos="851"/>
        <w:tab w:val="right" w:leader="dot" w:pos="8364"/>
      </w:tabs>
      <w:ind w:firstLineChars="0" w:firstLine="0"/>
    </w:pPr>
  </w:style>
  <w:style w:type="paragraph" w:styleId="20">
    <w:name w:val="toc 2"/>
    <w:basedOn w:val="a"/>
    <w:next w:val="a"/>
    <w:autoRedefine/>
    <w:uiPriority w:val="39"/>
    <w:unhideWhenUsed/>
    <w:rsid w:val="00303D20"/>
    <w:pPr>
      <w:tabs>
        <w:tab w:val="left" w:pos="993"/>
        <w:tab w:val="right" w:leader="dot" w:pos="8364"/>
      </w:tabs>
      <w:ind w:firstLine="480"/>
    </w:pPr>
  </w:style>
  <w:style w:type="character" w:styleId="aa">
    <w:name w:val="Hyperlink"/>
    <w:basedOn w:val="a0"/>
    <w:uiPriority w:val="99"/>
    <w:unhideWhenUsed/>
    <w:rsid w:val="009F4591"/>
    <w:rPr>
      <w:color w:val="0000FF" w:themeColor="hyperlink"/>
      <w:u w:val="single"/>
    </w:rPr>
  </w:style>
  <w:style w:type="paragraph" w:styleId="ab">
    <w:name w:val="Document Map"/>
    <w:basedOn w:val="a"/>
    <w:link w:val="Char3"/>
    <w:uiPriority w:val="99"/>
    <w:semiHidden/>
    <w:unhideWhenUsed/>
    <w:rsid w:val="00504282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b"/>
    <w:uiPriority w:val="99"/>
    <w:semiHidden/>
    <w:rsid w:val="00504282"/>
    <w:rPr>
      <w:rFonts w:ascii="宋体" w:eastAsia="宋体"/>
      <w:sz w:val="18"/>
      <w:szCs w:val="18"/>
    </w:rPr>
  </w:style>
  <w:style w:type="paragraph" w:styleId="ac">
    <w:name w:val="No Spacing"/>
    <w:uiPriority w:val="1"/>
    <w:qFormat/>
    <w:rsid w:val="00E702E0"/>
    <w:pPr>
      <w:widowControl w:val="0"/>
      <w:ind w:firstLineChars="200" w:firstLine="200"/>
      <w:jc w:val="both"/>
    </w:pPr>
    <w:rPr>
      <w:sz w:val="24"/>
    </w:rPr>
  </w:style>
  <w:style w:type="paragraph" w:styleId="3">
    <w:name w:val="toc 3"/>
    <w:basedOn w:val="a"/>
    <w:next w:val="a"/>
    <w:autoRedefine/>
    <w:uiPriority w:val="39"/>
    <w:unhideWhenUsed/>
    <w:rsid w:val="00303D20"/>
    <w:pPr>
      <w:tabs>
        <w:tab w:val="right" w:leader="dot" w:pos="8296"/>
      </w:tabs>
      <w:ind w:firstLineChars="400" w:firstLine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2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3A38F-4B47-45C0-9CF6-F5F40BCC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2837</TotalTime>
  <Pages>13</Pages>
  <Words>903</Words>
  <Characters>5150</Characters>
  <Application>Microsoft Office Word</Application>
  <DocSecurity>0</DocSecurity>
  <Lines>42</Lines>
  <Paragraphs>12</Paragraphs>
  <ScaleCrop>false</ScaleCrop>
  <Company>微软中国</Company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gj</cp:lastModifiedBy>
  <cp:revision>74</cp:revision>
  <cp:lastPrinted>2021-08-16T08:04:00Z</cp:lastPrinted>
  <dcterms:created xsi:type="dcterms:W3CDTF">2021-08-09T08:48:00Z</dcterms:created>
  <dcterms:modified xsi:type="dcterms:W3CDTF">2021-11-04T11:06:00Z</dcterms:modified>
</cp:coreProperties>
</file>